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445303-2022-01511</w:t>
      </w:r>
    </w:p>
    <w:p>
      <w:pPr>
        <w:jc w:val="center"/>
      </w:pPr>
      <w:r>
        <w:rPr>
          <w:b/>
          <w:sz w:val="24"/>
        </w:rPr>
        <w:t>采购项目编号：</w:t>
      </w:r>
      <w:r>
        <w:rPr>
          <w:b/>
          <w:sz w:val="24"/>
        </w:rPr>
        <w:t>445303-2022-01464</w:t>
      </w:r>
    </w:p>
    <w:p>
      <w:pPr>
        <w:jc w:val="center"/>
      </w:pPr>
      <w:r>
        <w:rPr>
          <w:b/>
          <w:sz w:val="24"/>
        </w:rPr>
        <w:t>项目名称：</w:t>
      </w:r>
      <w:r>
        <w:rPr>
          <w:b/>
          <w:sz w:val="24"/>
        </w:rPr>
        <w:t>云安区民政局2021年居家和社区基本养老服务提升行动项目</w:t>
      </w:r>
    </w:p>
    <w:p>
      <w:pPr>
        <w:jc w:val="center"/>
      </w:pPr>
      <w:r>
        <w:rPr>
          <w:b/>
          <w:sz w:val="24"/>
        </w:rPr>
        <w:t>采购人：</w:t>
      </w:r>
      <w:r>
        <w:rPr>
          <w:b/>
          <w:sz w:val="24"/>
        </w:rPr>
        <w:t>云浮市云安区民政局</w:t>
      </w:r>
    </w:p>
    <w:p>
      <w:pPr>
        <w:jc w:val="center"/>
      </w:pPr>
      <w:r>
        <w:rPr>
          <w:b/>
          <w:sz w:val="24"/>
        </w:rPr>
        <w:t>采购代理机构：</w:t>
      </w:r>
      <w:r>
        <w:rPr>
          <w:b/>
          <w:sz w:val="24"/>
        </w:rPr>
        <w:t>云浮市亿鑫招标采购代理有限公司</w:t>
      </w:r>
    </w:p>
    <w:p>
      <w:pPr>
        <w:ind w:firstLine="480"/>
      </w:pPr>
    </w:p>
    <w:p>
      <w:r>
        <w:rPr/>
        <w:t xml:space="preserve"> </w:t>
      </w:r>
    </w:p>
    <w:p/>
    <w:p>
      <w:pPr>
        <w:jc w:val="center"/>
      </w:pPr>
      <w:r>
        <w:rPr>
          <w:b/>
          <w:sz w:val="36"/>
        </w:rPr>
        <w:t>第一章 磋商邀请</w:t>
      </w:r>
    </w:p>
    <w:p>
      <w:pPr>
        <w:ind w:firstLine="480"/>
      </w:pPr>
      <w:r>
        <w:rPr/>
        <w:t>云浮市亿鑫招标采购代理有限公司</w:t>
      </w:r>
      <w:r>
        <w:rPr/>
        <w:t>受</w:t>
      </w:r>
      <w:r>
        <w:rPr/>
        <w:t>云浮市云安区民政局</w:t>
      </w:r>
      <w:r>
        <w:rPr/>
        <w:t>的委托，采用</w:t>
      </w:r>
      <w:r>
        <w:rPr/>
        <w:t>竞争性磋商</w:t>
      </w:r>
      <w:r>
        <w:rPr/>
        <w:t>方式组织采购</w:t>
      </w:r>
      <w:r>
        <w:rPr/>
        <w:t>云安区民政局2021年居家和社区基本养老服务提升行动项目</w:t>
      </w:r>
      <w:r>
        <w:rPr/>
        <w:t>。欢迎符合资格条件的供应商参加。</w:t>
      </w:r>
    </w:p>
    <w:p>
      <w:r>
        <w:rPr>
          <w:b/>
          <w:sz w:val="28"/>
        </w:rPr>
        <w:t>一.项目概述</w:t>
      </w:r>
    </w:p>
    <w:p>
      <w:r>
        <w:rPr>
          <w:b/>
          <w:sz w:val="24"/>
        </w:rPr>
        <w:t>1.名称与编号</w:t>
      </w:r>
    </w:p>
    <w:p>
      <w:pPr>
        <w:ind w:firstLine="480"/>
      </w:pPr>
      <w:r>
        <w:rPr/>
        <w:t>采购项目名称：</w:t>
      </w:r>
      <w:r>
        <w:rPr/>
        <w:t>云安区民政局2021年居家和社区基本养老服务提升行动项目</w:t>
      </w:r>
    </w:p>
    <w:p>
      <w:pPr>
        <w:ind w:firstLine="480"/>
      </w:pPr>
      <w:r>
        <w:rPr/>
        <w:t>采购计划编号：</w:t>
      </w:r>
      <w:r>
        <w:rPr/>
        <w:t>445303-2022-01511</w:t>
      </w:r>
    </w:p>
    <w:p>
      <w:pPr>
        <w:ind w:firstLine="480"/>
      </w:pPr>
      <w:r>
        <w:rPr/>
        <w:t>采购项目编号：</w:t>
      </w:r>
      <w:r>
        <w:rPr/>
        <w:t>445303-2022-01464</w:t>
      </w:r>
    </w:p>
    <w:p>
      <w:pPr>
        <w:ind w:firstLine="480"/>
      </w:pPr>
      <w:r>
        <w:rPr/>
        <w:t>采购方式：</w:t>
      </w:r>
      <w:r>
        <w:rPr/>
        <w:t>竞争性磋商</w:t>
      </w:r>
    </w:p>
    <w:p>
      <w:pPr>
        <w:ind w:firstLine="480"/>
      </w:pPr>
      <w:r>
        <w:rPr/>
        <w:t>预算金额：</w:t>
      </w:r>
      <w:r>
        <w:rPr/>
        <w:t>1,327,500.00</w:t>
      </w:r>
      <w:r>
        <w:rPr/>
        <w:t>元</w:t>
      </w:r>
    </w:p>
    <w:p>
      <w:r>
        <w:rPr>
          <w:b/>
          <w:sz w:val="24"/>
        </w:rPr>
        <w:t>2.项目内容及需求情况（采购项目技术规格、参数及要求）</w:t>
      </w:r>
    </w:p>
    <w:p>
      <w:pPr>
        <w:ind w:firstLine="480"/>
      </w:pPr>
    </w:p>
    <w:p/>
    <w:p>
      <w:r>
        <w:rPr/>
        <w:t>采购包1(云安区民政局2021年居家和社区基本养老服务提升行动项目):</w:t>
      </w:r>
    </w:p>
    <w:p>
      <w:r>
        <w:rPr/>
        <w:t>采购包预算金额：1,327,500.00元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其他服务</w:t>
            </w:r>
          </w:p>
        </w:tc>
        <w:tc>
          <w:tcPr>
            <w:tcW w:type="dxa" w:w="2136"/>
          </w:tcPr>
          <w:p>
            <w:r>
              <w:rPr/>
              <w:t>云安区民政局2021年居家和社区基本养老服务提升行动项目</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本采购包不接受联合体响应</w:t>
      </w:r>
    </w:p>
    <w:p/>
    <w:p>
      <w:r>
        <w:rPr/>
        <w:t>合同履行期限：自合同签订之日两年。</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3）具有良好的商业信誉和健全的财务会计制度：供应商必须具有良好的商业信誉和健全的财务会计制度（提供2021年度财务状况报告或基本开户行出具的资信证明）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采购包1（云安区民政局2021年居家和社区基本养老服务提升行动项目）：</w:t>
      </w:r>
      <w:r>
        <w:rPr/>
        <w:t>参与的供应商（联合体）服务全部由符合政策要求的中小企业承接。</w:t>
      </w:r>
    </w:p>
    <w:p/>
    <w:p>
      <w:r>
        <w:rPr>
          <w:b/>
          <w:sz w:val="24"/>
        </w:rPr>
        <w:t>3.本项目特定的资格要求：</w:t>
      </w:r>
    </w:p>
    <w:p>
      <w:pPr>
        <w:ind w:firstLine="480"/>
      </w:pPr>
    </w:p>
    <w:p/>
    <w:p>
      <w:r>
        <w:rPr/>
        <w:t>采购包1（云安区民政局2021年居家和社区基本养老服务提升行动项目）：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3)供应商须依法登记成立并具备相应服务资质或组织具备相应服务资质或社会组织章程包含居家养老上门服务种类。</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yunfuyixin@qq.com</w:t>
      </w:r>
    </w:p>
    <w:p>
      <w:r>
        <w:rPr>
          <w:b/>
          <w:sz w:val="28"/>
        </w:rPr>
        <w:t>六.本项目联系方式：</w:t>
      </w:r>
    </w:p>
    <w:p>
      <w:r>
        <w:rPr>
          <w:b/>
          <w:sz w:val="24"/>
        </w:rPr>
        <w:t>1.采购人信息</w:t>
      </w:r>
    </w:p>
    <w:p>
      <w:pPr>
        <w:ind w:firstLine="480"/>
      </w:pPr>
      <w:r>
        <w:rPr/>
        <w:t>名称：</w:t>
      </w:r>
      <w:r>
        <w:rPr/>
        <w:t>云浮市云安区民政局</w:t>
      </w:r>
    </w:p>
    <w:p>
      <w:pPr>
        <w:ind w:firstLine="480"/>
      </w:pPr>
      <w:r>
        <w:rPr/>
        <w:t>地址：</w:t>
      </w:r>
      <w:r>
        <w:rPr/>
        <w:t>云浮市云安区六都镇白沙塘行政区民政局</w:t>
      </w:r>
    </w:p>
    <w:p>
      <w:pPr>
        <w:ind w:firstLine="480"/>
      </w:pPr>
      <w:r>
        <w:rPr/>
        <w:t>联系方式：</w:t>
      </w:r>
      <w:r>
        <w:rPr/>
        <w:t>0766-8638776</w:t>
      </w:r>
    </w:p>
    <w:p>
      <w:r>
        <w:rPr>
          <w:b/>
          <w:sz w:val="24"/>
        </w:rPr>
        <w:t>2.采购代理机构信息</w:t>
      </w:r>
    </w:p>
    <w:p>
      <w:pPr>
        <w:ind w:firstLine="480"/>
      </w:pPr>
      <w:r>
        <w:rPr/>
        <w:t>名称：</w:t>
      </w:r>
      <w:r>
        <w:rPr/>
        <w:t>云浮市亿鑫招标采购代理有限公司</w:t>
      </w:r>
    </w:p>
    <w:p>
      <w:pPr>
        <w:ind w:firstLine="480"/>
      </w:pPr>
      <w:r>
        <w:rPr/>
        <w:t>地址：</w:t>
      </w:r>
      <w:r>
        <w:rPr/>
        <w:t>云浮市云城区云城街道富华南路68号二楼</w:t>
      </w:r>
    </w:p>
    <w:p>
      <w:pPr>
        <w:ind w:firstLine="480"/>
      </w:pPr>
      <w:r>
        <w:rPr/>
        <w:t>联系方式：</w:t>
      </w:r>
      <w:r>
        <w:rPr/>
        <w:t>0766-6616288</w:t>
      </w:r>
    </w:p>
    <w:p>
      <w:r>
        <w:rPr>
          <w:b/>
          <w:sz w:val="24"/>
        </w:rPr>
        <w:t>3.项目联系方式</w:t>
      </w:r>
    </w:p>
    <w:p>
      <w:pPr>
        <w:ind w:firstLine="480"/>
      </w:pPr>
      <w:r>
        <w:rPr/>
        <w:t>项目联系人：</w:t>
      </w:r>
      <w:r>
        <w:rPr/>
        <w:t>陈小姐</w:t>
      </w:r>
    </w:p>
    <w:p>
      <w:pPr>
        <w:ind w:firstLine="480"/>
      </w:pPr>
      <w:r>
        <w:rPr/>
        <w:t>电话：</w:t>
      </w:r>
      <w:r>
        <w:rPr/>
        <w:t>0766-6616288</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云浮市亿鑫招标采购代理有限公司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1"/>
        </w:rPr>
        <w:t>根据《云浮市</w:t>
      </w:r>
      <w:r>
        <w:rPr>
          <w:sz w:val="21"/>
        </w:rPr>
        <w:t>2021年居家和社区基本养老服务提升行动项目实施方案》（云民发〔2021〕78号）和《关于推进云浮市2021年居家和社区基本养老服务提升行动项目有关事项的通知》精神，加快推进居家和社区基本养老服务提升行动项目，现通过招标采购方式对项目中的上门服务和适老化改造项目引进第三方机构进行运营建设。</w:t>
      </w:r>
    </w:p>
    <w:p/>
    <w:p>
      <w:pPr>
        <w:ind w:firstLine="480"/>
      </w:pPr>
    </w:p>
    <w:p/>
    <w:p>
      <w:r>
        <w:rPr/>
        <w:t>合同包1（云安区民政局2021年居家和社区基本养老服务提升行动项目）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自合同签订之日两年。</w:t>
            </w:r>
          </w:p>
        </w:tc>
      </w:tr>
      <w:tr>
        <w:tc>
          <w:tcPr>
            <w:tcW w:type="dxa" w:w="4153"/>
          </w:tcPr>
          <w:p>
            <w:r>
              <w:rPr/>
              <w:t>标的提供的地点</w:t>
            </w:r>
          </w:p>
        </w:tc>
        <w:tc>
          <w:tcPr>
            <w:tcW w:type="dxa" w:w="4153"/>
          </w:tcPr>
          <w:p/>
          <w:p>
            <w:r>
              <w:rPr/>
              <w:t>云安区民政局指定地点。</w:t>
            </w:r>
          </w:p>
        </w:tc>
      </w:tr>
      <w:tr>
        <w:tc>
          <w:tcPr>
            <w:tcW w:type="dxa" w:w="4153"/>
          </w:tcPr>
          <w:p>
            <w:r>
              <w:rPr/>
              <w:t>付款方式</w:t>
            </w:r>
          </w:p>
        </w:tc>
        <w:tc>
          <w:tcPr>
            <w:tcW w:type="dxa" w:w="4153"/>
          </w:tcPr>
          <w:p/>
          <w:p/>
          <w:p>
            <w:r>
              <w:rPr/>
              <w:t>1期：支付比例25%,1、预付款：双方签订项目合同书后10个工作日内，甲方向乙方支付合同总金额的25%作为本项目的预付款。</w:t>
            </w:r>
          </w:p>
          <w:p/>
          <w:p>
            <w:r>
              <w:rPr/>
              <w:t>2期：支付比例75%,2、进度款：乙方完成预付款的结算计价量后，每1个月必须通过验收，每3个月计价结算1次，结算计价后10个工作日内，甲方支付进度款。    3、乙方凭以下有效文件与甲方结算： 1）合同； 2）中标人开具的正式发票； 3）中标通知书； 4）甲方双方签名验收确认的凭证； 5）财政部门要求提交的其他资料； 6）由于资金属于财政支付资金，付款时限以递交财政部门支付资料时间为准。</w:t>
            </w:r>
          </w:p>
        </w:tc>
      </w:tr>
      <w:tr>
        <w:tc>
          <w:tcPr>
            <w:tcW w:type="dxa" w:w="4153"/>
          </w:tcPr>
          <w:p>
            <w:r>
              <w:rPr/>
              <w:t>验收要求</w:t>
            </w:r>
          </w:p>
        </w:tc>
        <w:tc>
          <w:tcPr>
            <w:tcW w:type="dxa" w:w="4153"/>
          </w:tcPr>
          <w:p/>
          <w:p/>
          <w:p/>
          <w:p>
            <w:r>
              <w:rPr/>
              <w:t>1期：按国家有关规定、招标文件的质量要求和技术指标、供应商的响应文件及承诺、本合同约定标准进行验收。其他严格按照《财政部关于进一步加强政府采购需求和履约验收管理的指导意见》（财库（2016）205号）的要求进行验收；</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其他服务</w:t>
            </w:r>
          </w:p>
        </w:tc>
        <w:tc>
          <w:tcPr>
            <w:tcW w:type="dxa" w:w="933"/>
          </w:tcPr>
          <w:p>
            <w:pPr>
              <w:jc w:val="left"/>
            </w:pPr>
            <w:r>
              <w:rPr/>
              <w:t>云安区民政局2021年居家和社区基本养老服务提升行动项目</w:t>
            </w:r>
          </w:p>
        </w:tc>
        <w:tc>
          <w:tcPr>
            <w:tcW w:type="dxa" w:w="933"/>
          </w:tcPr>
          <w:p>
            <w:pPr>
              <w:jc w:val="left"/>
            </w:pPr>
            <w:r>
              <w:rPr/>
              <w:t>项</w:t>
            </w:r>
          </w:p>
        </w:tc>
        <w:tc>
          <w:tcPr>
            <w:tcW w:type="dxa" w:w="933"/>
          </w:tcPr>
          <w:p>
            <w:pPr>
              <w:jc w:val="right"/>
            </w:pPr>
            <w:r>
              <w:rPr/>
              <w:t>1.00</w:t>
            </w:r>
          </w:p>
        </w:tc>
        <w:tc>
          <w:tcPr>
            <w:tcW w:type="dxa" w:w="933"/>
          </w:tcPr>
          <w:p>
            <w:pPr>
              <w:jc w:val="right"/>
            </w:pPr>
            <w:r>
              <w:rPr/>
              <w:t>1,327,500.00</w:t>
            </w:r>
          </w:p>
        </w:tc>
        <w:tc>
          <w:tcPr>
            <w:tcW w:type="dxa" w:w="933"/>
          </w:tcPr>
          <w:p>
            <w:pPr>
              <w:jc w:val="right"/>
            </w:pPr>
            <w:r>
              <w:rPr/>
              <w:t>1,327,500.00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云安区民政局2021年居家和社区基本养老服务提升行动项目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left"/>
            </w:pPr>
            <w:r>
              <w:rPr>
                <w:b/>
                <w:sz w:val="21"/>
              </w:rPr>
              <w:t>说明：</w:t>
            </w:r>
          </w:p>
          <w:p>
            <w:pPr>
              <w:ind w:firstLine="420"/>
              <w:jc w:val="both"/>
            </w:pPr>
            <w:r>
              <w:rPr>
                <w:b/>
                <w:sz w:val="21"/>
              </w:rPr>
              <w:t>1.</w:t>
            </w:r>
            <w:r>
              <w:rPr>
                <w:b/>
                <w:sz w:val="21"/>
              </w:rPr>
              <w:t>供应商</w:t>
            </w:r>
            <w:r>
              <w:rPr>
                <w:b/>
                <w:sz w:val="21"/>
              </w:rPr>
              <w:t>须对本项目为单位的服务进行整体响应，任何只对其中一部分内容进行的响应都被视为无效响应。</w:t>
            </w:r>
          </w:p>
          <w:p>
            <w:pPr>
              <w:ind w:firstLine="420"/>
              <w:jc w:val="both"/>
            </w:pPr>
            <w:r>
              <w:rPr>
                <w:b/>
                <w:sz w:val="21"/>
              </w:rPr>
              <w:t>2.用户需求书中打“◆”号的内容为采购的主要标的，</w:t>
            </w:r>
            <w:r>
              <w:rPr>
                <w:b/>
                <w:sz w:val="21"/>
              </w:rPr>
              <w:t>投标人</w:t>
            </w:r>
            <w:r>
              <w:rPr>
                <w:b/>
                <w:sz w:val="21"/>
              </w:rPr>
              <w:t>应在报价表中清晰列明</w:t>
            </w:r>
            <w:r>
              <w:rPr>
                <w:b/>
                <w:sz w:val="21"/>
              </w:rPr>
              <w:t>“标的名称、数量、</w:t>
            </w:r>
            <w:r>
              <w:rPr>
                <w:b/>
                <w:sz w:val="21"/>
              </w:rPr>
              <w:t>总价</w:t>
            </w:r>
            <w:r>
              <w:rPr>
                <w:b/>
                <w:sz w:val="21"/>
              </w:rPr>
              <w:t>”。</w:t>
            </w:r>
          </w:p>
          <w:p>
            <w:pPr>
              <w:jc w:val="both"/>
            </w:pPr>
            <w:r>
              <w:rPr>
                <w:b/>
                <w:color w:val="000000"/>
                <w:sz w:val="21"/>
              </w:rPr>
              <w:t>一、采购项目内容</w:t>
            </w:r>
          </w:p>
          <w:tbl>
            <w:tblPr>
              <w:tblBorders>
                <w:top w:val="none" w:color="000000" w:sz="4"/>
                <w:left w:val="none" w:color="000000" w:sz="4"/>
                <w:bottom w:val="none" w:color="000000" w:sz="4"/>
                <w:right w:val="none" w:color="000000" w:sz="4"/>
                <w:insideH w:val="none"/>
                <w:insideV w:val="none"/>
              </w:tblBorders>
            </w:tblPr>
            <w:tblGrid>
              <w:gridCol w:w="1935"/>
              <w:gridCol w:w="518"/>
              <w:gridCol w:w="1865"/>
              <w:gridCol w:w="1269"/>
            </w:tblGrid>
            <w:tr>
              <w:tc>
                <w:tcPr>
                  <w:tcW w:type="dxa" w:w="1935"/>
                  <w:tcBorders>
                    <w:top w:val="single" w:color="000000" w:sz="4"/>
                    <w:left w:val="single" w:color="000000" w:sz="4"/>
                    <w:bottom w:val="single" w:color="000000" w:sz="4"/>
                    <w:right w:val="single" w:color="000000" w:sz="4"/>
                  </w:tcBorders>
                  <w:shd w:fill="EDECE1"/>
                  <w:vAlign w:val="top"/>
                </w:tcPr>
                <w:p>
                  <w:pPr>
                    <w:jc w:val="center"/>
                  </w:pPr>
                  <w:r>
                    <w:rPr>
                      <w:sz w:val="21"/>
                    </w:rPr>
                    <w:t>采购内容</w:t>
                  </w:r>
                </w:p>
              </w:tc>
              <w:tc>
                <w:tcPr>
                  <w:tcW w:type="dxa" w:w="518"/>
                  <w:tcBorders>
                    <w:top w:val="single" w:color="000000" w:sz="4"/>
                    <w:left w:val="none" w:color="000000" w:sz="4"/>
                    <w:bottom w:val="single" w:color="000000" w:sz="4"/>
                    <w:right w:val="single" w:color="000000" w:sz="4"/>
                  </w:tcBorders>
                  <w:shd w:fill="EDECE1"/>
                  <w:vAlign w:val="top"/>
                </w:tcPr>
                <w:p>
                  <w:pPr>
                    <w:jc w:val="center"/>
                  </w:pPr>
                  <w:r>
                    <w:rPr>
                      <w:sz w:val="21"/>
                    </w:rPr>
                    <w:t>数量</w:t>
                  </w:r>
                </w:p>
              </w:tc>
              <w:tc>
                <w:tcPr>
                  <w:tcW w:type="dxa" w:w="1865"/>
                  <w:tcBorders>
                    <w:top w:val="single" w:color="000000" w:sz="4"/>
                    <w:left w:val="none" w:color="000000" w:sz="4"/>
                    <w:bottom w:val="single" w:color="000000" w:sz="4"/>
                    <w:right w:val="single" w:color="000000" w:sz="4"/>
                  </w:tcBorders>
                  <w:shd w:fill="EDECE1"/>
                  <w:vAlign w:val="top"/>
                </w:tcPr>
                <w:p>
                  <w:pPr>
                    <w:jc w:val="center"/>
                  </w:pPr>
                  <w:r>
                    <w:rPr>
                      <w:sz w:val="21"/>
                    </w:rPr>
                    <w:t>服务期限</w:t>
                  </w:r>
                </w:p>
              </w:tc>
              <w:tc>
                <w:tcPr>
                  <w:tcW w:type="dxa" w:w="1269"/>
                  <w:tcBorders>
                    <w:top w:val="single" w:color="000000" w:sz="4"/>
                    <w:left w:val="none" w:color="000000" w:sz="4"/>
                    <w:bottom w:val="single" w:color="000000" w:sz="4"/>
                    <w:right w:val="single" w:color="000000" w:sz="4"/>
                  </w:tcBorders>
                  <w:shd w:fill="EDECE1"/>
                  <w:vAlign w:val="top"/>
                </w:tcPr>
                <w:p>
                  <w:pPr>
                    <w:jc w:val="center"/>
                  </w:pPr>
                  <w:r>
                    <w:rPr>
                      <w:sz w:val="21"/>
                    </w:rPr>
                    <w:t>预算价（</w:t>
                  </w:r>
                  <w:r>
                    <w:rPr>
                      <w:sz w:val="21"/>
                    </w:rPr>
                    <w:t>最高限价</w:t>
                  </w:r>
                  <w:r>
                    <w:rPr>
                      <w:sz w:val="21"/>
                    </w:rPr>
                    <w:t>）</w:t>
                  </w:r>
                </w:p>
              </w:tc>
            </w:tr>
            <w:tr>
              <w:tc>
                <w:tcPr>
                  <w:tcW w:type="dxa" w:w="1935"/>
                  <w:tcBorders>
                    <w:top w:val="none" w:color="000000" w:sz="4"/>
                    <w:left w:val="single" w:color="000000" w:sz="4"/>
                    <w:bottom w:val="single" w:color="000000" w:sz="4"/>
                    <w:right w:val="single" w:color="000000" w:sz="4"/>
                  </w:tcBorders>
                  <w:vAlign w:val="top"/>
                </w:tcPr>
                <w:p>
                  <w:pPr>
                    <w:jc w:val="center"/>
                  </w:pPr>
                  <w:r>
                    <w:rPr>
                      <w:b/>
                      <w:sz w:val="21"/>
                    </w:rPr>
                    <w:t>◆</w:t>
                  </w:r>
                  <w:r>
                    <w:rPr>
                      <w:sz w:val="21"/>
                    </w:rPr>
                    <w:t>云安区民政局2021年居家和社区基本养老服务提升行动项目</w:t>
                  </w:r>
                </w:p>
              </w:tc>
              <w:tc>
                <w:tcPr>
                  <w:tcW w:type="dxa" w:w="518"/>
                  <w:tcBorders>
                    <w:top w:val="none" w:color="000000" w:sz="4"/>
                    <w:left w:val="none" w:color="000000" w:sz="4"/>
                    <w:bottom w:val="single" w:color="000000" w:sz="4"/>
                    <w:right w:val="single" w:color="000000" w:sz="4"/>
                  </w:tcBorders>
                  <w:vAlign w:val="top"/>
                </w:tcPr>
                <w:p>
                  <w:pPr>
                    <w:jc w:val="center"/>
                  </w:pPr>
                  <w:r>
                    <w:rPr>
                      <w:sz w:val="21"/>
                    </w:rPr>
                    <w:t>1项</w:t>
                  </w:r>
                </w:p>
              </w:tc>
              <w:tc>
                <w:tcPr>
                  <w:tcW w:type="dxa" w:w="1865"/>
                  <w:tcBorders>
                    <w:top w:val="none" w:color="000000" w:sz="4"/>
                    <w:left w:val="none" w:color="000000" w:sz="4"/>
                    <w:bottom w:val="single" w:color="000000" w:sz="4"/>
                    <w:right w:val="single" w:color="000000" w:sz="4"/>
                  </w:tcBorders>
                  <w:vAlign w:val="top"/>
                </w:tcPr>
                <w:p>
                  <w:pPr>
                    <w:jc w:val="center"/>
                  </w:pPr>
                  <w:r>
                    <w:rPr>
                      <w:sz w:val="21"/>
                    </w:rPr>
                    <w:t>自合同签订之日两年</w:t>
                  </w:r>
                  <w:r>
                    <w:rPr>
                      <w:sz w:val="21"/>
                    </w:rPr>
                    <w:t>。</w:t>
                  </w:r>
                </w:p>
              </w:tc>
              <w:tc>
                <w:tcPr>
                  <w:tcW w:type="dxa" w:w="1269"/>
                  <w:tcBorders>
                    <w:top w:val="none" w:color="000000" w:sz="4"/>
                    <w:left w:val="none" w:color="000000" w:sz="4"/>
                    <w:bottom w:val="single" w:color="000000" w:sz="4"/>
                    <w:right w:val="single" w:color="000000" w:sz="4"/>
                  </w:tcBorders>
                  <w:vAlign w:val="top"/>
                </w:tcPr>
                <w:p>
                  <w:pPr>
                    <w:jc w:val="center"/>
                  </w:pPr>
                  <w:r>
                    <w:rPr>
                      <w:sz w:val="21"/>
                    </w:rPr>
                    <w:t>人民币</w:t>
                  </w:r>
                  <w:r>
                    <w:rPr>
                      <w:sz w:val="21"/>
                    </w:rPr>
                    <w:t>1327500.00</w:t>
                  </w:r>
                  <w:r>
                    <w:rPr>
                      <w:sz w:val="21"/>
                    </w:rPr>
                    <w:t>元</w:t>
                  </w:r>
                </w:p>
              </w:tc>
            </w:tr>
          </w:tbl>
        </w:tc>
      </w:tr>
      <w:tr>
        <w:tc>
          <w:tcPr>
            <w:tcW w:type="dxa" w:w="2076"/>
          </w:tcPr>
          <w:p/>
        </w:tc>
        <w:tc>
          <w:tcPr>
            <w:tcW w:type="dxa" w:w="415"/>
          </w:tcPr>
          <w:p>
            <w:r>
              <w:rPr/>
              <w:t>2</w:t>
            </w:r>
          </w:p>
        </w:tc>
        <w:tc>
          <w:tcPr>
            <w:tcW w:type="dxa" w:w="5814"/>
          </w:tcPr>
          <w:p>
            <w:pPr>
              <w:jc w:val="both"/>
            </w:pPr>
            <w:r>
              <w:rPr>
                <w:b/>
                <w:sz w:val="21"/>
              </w:rPr>
              <w:t>二、项目概况</w:t>
            </w:r>
          </w:p>
          <w:p>
            <w:pPr>
              <w:jc w:val="both"/>
            </w:pPr>
            <w:r>
              <w:rPr>
                <w:sz w:val="21"/>
              </w:rPr>
              <w:t>根据《云浮市</w:t>
            </w:r>
            <w:r>
              <w:rPr>
                <w:sz w:val="21"/>
              </w:rPr>
              <w:t>2021年居家和社区基本养老服务提升行动项目实施方案》（云民发〔2021〕78号）和《关于推进云浮市2021年居家和社区基本养老服务提升行动项目有关事项的通知》精神，加快推进居家和社区基本养老服务提升行动项目，现通过招标采购方式对项目中的上门服务和适老化改造项目引进第三方机构进行运营建设。</w:t>
            </w:r>
          </w:p>
        </w:tc>
      </w:tr>
      <w:tr>
        <w:tc>
          <w:tcPr>
            <w:tcW w:type="dxa" w:w="2076"/>
          </w:tcPr>
          <w:p/>
        </w:tc>
        <w:tc>
          <w:tcPr>
            <w:tcW w:type="dxa" w:w="415"/>
          </w:tcPr>
          <w:p>
            <w:r>
              <w:rPr/>
              <w:t>3</w:t>
            </w:r>
          </w:p>
        </w:tc>
        <w:tc>
          <w:tcPr>
            <w:tcW w:type="dxa" w:w="5814"/>
          </w:tcPr>
          <w:p>
            <w:pPr>
              <w:jc w:val="both"/>
            </w:pPr>
            <w:r>
              <w:rPr>
                <w:b/>
                <w:sz w:val="21"/>
              </w:rPr>
              <w:t>三、</w:t>
            </w:r>
            <w:r>
              <w:rPr>
                <w:b/>
                <w:sz w:val="21"/>
              </w:rPr>
              <w:t>服务内容</w:t>
            </w:r>
          </w:p>
          <w:p>
            <w:pPr>
              <w:ind w:firstLine="420"/>
              <w:jc w:val="both"/>
            </w:pPr>
            <w:r>
              <w:rPr>
                <w:sz w:val="21"/>
              </w:rPr>
              <w:t>（一）适老化改造：对已安装家庭养老床位的</w:t>
            </w:r>
            <w:r>
              <w:rPr>
                <w:sz w:val="21"/>
              </w:rPr>
              <w:t>150户老年人住所的卧室、卫生间、浴室、厨房、客厅等关键位置进行适老化改造。</w:t>
            </w:r>
          </w:p>
          <w:p>
            <w:pPr>
              <w:ind w:firstLine="420"/>
              <w:jc w:val="both"/>
            </w:pPr>
            <w:r>
              <w:rPr>
                <w:sz w:val="21"/>
              </w:rPr>
              <w:t>（二）上门服务：</w:t>
            </w:r>
            <w:r>
              <w:rPr>
                <w:sz w:val="21"/>
              </w:rPr>
              <w:t>1、对已安装家庭养老床位的150户老年人进行上门服务，服务机构通过信息化系统和智能化设备对家庭养老照护床位实行每天24小时动态管理和远程监护，实时掌握服务对象情况，通过无感式监测实时掌握老年人身体变化和上门服务情况，经老年人或其家属同意，根据需要联网视频或语音通话并提供紧急援助。为服务对象提供助行、助餐、助穿、如厕、助洁、助浴、助医、康复、护理、巡访关爱等上门服务。</w:t>
            </w:r>
          </w:p>
          <w:p>
            <w:pPr>
              <w:ind w:firstLine="420"/>
              <w:jc w:val="both"/>
            </w:pPr>
            <w:r>
              <w:rPr>
                <w:sz w:val="21"/>
              </w:rPr>
              <w:t>2、对150户安装家庭养老床位以外的老年人进行上门服务，为服务对象提供助行、助餐、助穿、如厕、助洁、助浴、助医、康复、护理、巡访关爱等上门服务。</w:t>
            </w:r>
          </w:p>
          <w:p>
            <w:pPr>
              <w:ind w:firstLine="420"/>
              <w:jc w:val="both"/>
            </w:pPr>
            <w:r>
              <w:rPr>
                <w:sz w:val="21"/>
              </w:rPr>
              <w:t>具体适老化改造内容、上门服务项目以及上门服务资金补助方式按照《云浮市</w:t>
            </w:r>
            <w:r>
              <w:rPr>
                <w:sz w:val="21"/>
              </w:rPr>
              <w:t>2021年居家和社区基本养老服务提升行动项目实施方案》（云民发〔2021〕78号）执行。</w:t>
            </w:r>
          </w:p>
        </w:tc>
      </w:tr>
      <w:tr>
        <w:tc>
          <w:tcPr>
            <w:tcW w:type="dxa" w:w="2076"/>
          </w:tcPr>
          <w:p/>
        </w:tc>
        <w:tc>
          <w:tcPr>
            <w:tcW w:type="dxa" w:w="415"/>
          </w:tcPr>
          <w:p>
            <w:r>
              <w:rPr/>
              <w:t>4</w:t>
            </w:r>
          </w:p>
        </w:tc>
        <w:tc>
          <w:tcPr>
            <w:tcW w:type="dxa" w:w="5814"/>
          </w:tcPr>
          <w:p>
            <w:pPr>
              <w:jc w:val="both"/>
            </w:pPr>
            <w:r>
              <w:rPr>
                <w:b/>
                <w:sz w:val="21"/>
              </w:rPr>
              <w:t>四、</w:t>
            </w:r>
            <w:r>
              <w:rPr>
                <w:b/>
                <w:sz w:val="21"/>
              </w:rPr>
              <w:t>项目资金及标准</w:t>
            </w:r>
          </w:p>
          <w:p>
            <w:pPr>
              <w:ind w:firstLine="420"/>
              <w:jc w:val="both"/>
            </w:pPr>
            <w:r>
              <w:rPr>
                <w:sz w:val="21"/>
              </w:rPr>
              <w:t>项目总金额为</w:t>
            </w:r>
            <w:r>
              <w:rPr>
                <w:sz w:val="21"/>
              </w:rPr>
              <w:t>132.75万元，其中适老化改造金额12.69万元，为150户安装家庭养老床位老年人上门服务金额108万元，为其他老年人提供上门服务金额12.06万元。补助资金通过“以奖代补”方式发放给服务机构。</w:t>
            </w:r>
          </w:p>
          <w:p>
            <w:pPr>
              <w:ind w:firstLine="420"/>
              <w:jc w:val="both"/>
            </w:pPr>
            <w:r>
              <w:rPr>
                <w:sz w:val="21"/>
              </w:rPr>
              <w:t>（一）适老化改造资金为</w:t>
            </w:r>
            <w:r>
              <w:rPr>
                <w:sz w:val="21"/>
              </w:rPr>
              <w:t>12.69万元，为已安装家庭养老床位的老年人提供必要的适老化改造。</w:t>
            </w:r>
          </w:p>
          <w:p>
            <w:pPr>
              <w:ind w:firstLine="420"/>
              <w:jc w:val="both"/>
            </w:pPr>
            <w:r>
              <w:rPr>
                <w:sz w:val="21"/>
              </w:rPr>
              <w:t>（二）为安装家庭养老床位老年人提供上门服务，服务费用为</w:t>
            </w:r>
            <w:r>
              <w:rPr>
                <w:sz w:val="21"/>
              </w:rPr>
              <w:t>300元/床·月，含智能化设备通讯费用。每月至少上门10次，每次至少1小时。</w:t>
            </w:r>
          </w:p>
          <w:p>
            <w:pPr>
              <w:ind w:firstLine="420"/>
              <w:jc w:val="both"/>
            </w:pPr>
            <w:r>
              <w:rPr>
                <w:sz w:val="21"/>
              </w:rPr>
              <w:t>（三）为安装家庭养老床位以外的老年人提供上门服务，共</w:t>
            </w:r>
            <w:r>
              <w:rPr>
                <w:sz w:val="21"/>
              </w:rPr>
              <w:t>4020人次，补助标准30元/人.次。</w:t>
            </w:r>
          </w:p>
          <w:tbl>
            <w:tblPr>
              <w:tblInd w:type="dxa" w:w="165"/>
              <w:tblBorders>
                <w:top w:val="none" w:color="000000" w:sz="4"/>
                <w:left w:val="none" w:color="000000" w:sz="4"/>
                <w:bottom w:val="none" w:color="000000" w:sz="4"/>
                <w:right w:val="none" w:color="000000" w:sz="4"/>
                <w:insideH w:val="none"/>
                <w:insideV w:val="none"/>
              </w:tblBorders>
            </w:tblPr>
            <w:tblGrid>
              <w:gridCol w:w="2564"/>
              <w:gridCol w:w="804"/>
              <w:gridCol w:w="902"/>
              <w:gridCol w:w="1326"/>
            </w:tblGrid>
            <w:tr>
              <w:tc>
                <w:tcPr>
                  <w:tcW w:type="dxa" w:w="2564"/>
                  <w:tcBorders>
                    <w:top w:val="single" w:color="000000" w:sz="4"/>
                    <w:left w:val="single" w:color="000000" w:sz="4"/>
                    <w:bottom w:val="single" w:color="000000" w:sz="4"/>
                    <w:right w:val="single" w:color="000000" w:sz="4"/>
                  </w:tcBorders>
                  <w:vAlign w:val="top"/>
                </w:tcPr>
                <w:p>
                  <w:pPr>
                    <w:jc w:val="center"/>
                  </w:pPr>
                  <w:r>
                    <w:rPr>
                      <w:b/>
                      <w:sz w:val="21"/>
                    </w:rPr>
                    <w:t>项目内容</w:t>
                  </w:r>
                </w:p>
              </w:tc>
              <w:tc>
                <w:tcPr>
                  <w:tcW w:type="dxa" w:w="804"/>
                  <w:tcBorders>
                    <w:top w:val="single" w:color="000000" w:sz="4"/>
                    <w:left w:val="none" w:color="000000" w:sz="4"/>
                    <w:bottom w:val="single" w:color="000000" w:sz="4"/>
                    <w:right w:val="single" w:color="000000" w:sz="4"/>
                  </w:tcBorders>
                  <w:vAlign w:val="top"/>
                </w:tcPr>
                <w:p>
                  <w:pPr>
                    <w:jc w:val="center"/>
                  </w:pPr>
                  <w:r>
                    <w:rPr>
                      <w:b/>
                      <w:sz w:val="21"/>
                    </w:rPr>
                    <w:t>数量</w:t>
                  </w:r>
                </w:p>
              </w:tc>
              <w:tc>
                <w:tcPr>
                  <w:tcW w:type="dxa" w:w="902"/>
                  <w:tcBorders>
                    <w:top w:val="single" w:color="000000" w:sz="4"/>
                    <w:left w:val="none" w:color="000000" w:sz="4"/>
                    <w:bottom w:val="single" w:color="000000" w:sz="4"/>
                    <w:right w:val="single" w:color="000000" w:sz="4"/>
                  </w:tcBorders>
                  <w:vAlign w:val="top"/>
                </w:tcPr>
                <w:p>
                  <w:pPr>
                    <w:jc w:val="center"/>
                  </w:pPr>
                  <w:r>
                    <w:rPr>
                      <w:b/>
                      <w:sz w:val="21"/>
                    </w:rPr>
                    <w:t>单位</w:t>
                  </w:r>
                </w:p>
              </w:tc>
              <w:tc>
                <w:tcPr>
                  <w:tcW w:type="dxa" w:w="1326"/>
                  <w:tcBorders>
                    <w:top w:val="single" w:color="000000" w:sz="4"/>
                    <w:left w:val="none" w:color="000000" w:sz="4"/>
                    <w:bottom w:val="single" w:color="000000" w:sz="4"/>
                    <w:right w:val="single" w:color="000000" w:sz="4"/>
                  </w:tcBorders>
                  <w:vAlign w:val="top"/>
                </w:tcPr>
                <w:p>
                  <w:pPr>
                    <w:jc w:val="center"/>
                  </w:pPr>
                  <w:r>
                    <w:rPr>
                      <w:b/>
                      <w:sz w:val="21"/>
                    </w:rPr>
                    <w:t>备注</w:t>
                  </w:r>
                </w:p>
              </w:tc>
            </w:tr>
            <w:tr>
              <w:tc>
                <w:tcPr>
                  <w:tcW w:type="dxa" w:w="2564"/>
                  <w:tcBorders>
                    <w:top w:val="none" w:color="000000" w:sz="4"/>
                    <w:left w:val="single" w:color="000000" w:sz="4"/>
                    <w:bottom w:val="single" w:color="000000" w:sz="4"/>
                    <w:right w:val="single" w:color="000000" w:sz="4"/>
                  </w:tcBorders>
                  <w:vAlign w:val="top"/>
                </w:tcPr>
                <w:p>
                  <w:pPr>
                    <w:jc w:val="center"/>
                  </w:pPr>
                  <w:r>
                    <w:rPr>
                      <w:sz w:val="21"/>
                    </w:rPr>
                    <w:t>适老化改造</w:t>
                  </w:r>
                </w:p>
              </w:tc>
              <w:tc>
                <w:tcPr>
                  <w:tcW w:type="dxa" w:w="804"/>
                  <w:tcBorders>
                    <w:top w:val="none" w:color="000000" w:sz="4"/>
                    <w:left w:val="none" w:color="000000" w:sz="4"/>
                    <w:bottom w:val="single" w:color="000000" w:sz="4"/>
                    <w:right w:val="single" w:color="000000" w:sz="4"/>
                  </w:tcBorders>
                  <w:vAlign w:val="top"/>
                </w:tcPr>
                <w:p>
                  <w:pPr>
                    <w:jc w:val="center"/>
                  </w:pPr>
                  <w:r>
                    <w:rPr>
                      <w:sz w:val="21"/>
                    </w:rPr>
                    <w:t>150</w:t>
                  </w:r>
                </w:p>
              </w:tc>
              <w:tc>
                <w:tcPr>
                  <w:tcW w:type="dxa" w:w="902"/>
                  <w:tcBorders>
                    <w:top w:val="none" w:color="000000" w:sz="4"/>
                    <w:left w:val="none" w:color="000000" w:sz="4"/>
                    <w:bottom w:val="single" w:color="000000" w:sz="4"/>
                    <w:right w:val="single" w:color="000000" w:sz="4"/>
                  </w:tcBorders>
                  <w:vAlign w:val="top"/>
                </w:tcPr>
                <w:p>
                  <w:pPr>
                    <w:jc w:val="center"/>
                  </w:pPr>
                  <w:r>
                    <w:rPr>
                      <w:sz w:val="21"/>
                    </w:rPr>
                    <w:t>床</w:t>
                  </w:r>
                </w:p>
              </w:tc>
              <w:tc>
                <w:tcPr>
                  <w:tcW w:type="dxa" w:w="1326"/>
                  <w:tcBorders>
                    <w:top w:val="none" w:color="000000" w:sz="4"/>
                    <w:left w:val="none" w:color="000000" w:sz="4"/>
                    <w:bottom w:val="single" w:color="000000" w:sz="4"/>
                    <w:right w:val="single" w:color="000000" w:sz="4"/>
                  </w:tcBorders>
                  <w:vAlign w:val="top"/>
                </w:tcPr>
                <w:p>
                  <w:pPr>
                    <w:jc w:val="center"/>
                  </w:pPr>
                </w:p>
              </w:tc>
            </w:tr>
            <w:tr>
              <w:tc>
                <w:tcPr>
                  <w:tcW w:type="dxa" w:w="2564"/>
                  <w:tcBorders>
                    <w:top w:val="none" w:color="000000" w:sz="4"/>
                    <w:left w:val="single" w:color="000000" w:sz="4"/>
                    <w:bottom w:val="single" w:color="000000" w:sz="4"/>
                    <w:right w:val="single" w:color="000000" w:sz="4"/>
                  </w:tcBorders>
                  <w:vAlign w:val="top"/>
                </w:tcPr>
                <w:p>
                  <w:pPr>
                    <w:jc w:val="center"/>
                  </w:pPr>
                  <w:r>
                    <w:rPr>
                      <w:sz w:val="21"/>
                    </w:rPr>
                    <w:t>上门服务（</w:t>
                  </w:r>
                  <w:r>
                    <w:rPr>
                      <w:sz w:val="21"/>
                    </w:rPr>
                    <w:t>安装家庭养老床位老年人）</w:t>
                  </w:r>
                </w:p>
              </w:tc>
              <w:tc>
                <w:tcPr>
                  <w:tcW w:type="dxa" w:w="804"/>
                  <w:tcBorders>
                    <w:top w:val="none" w:color="000000" w:sz="4"/>
                    <w:left w:val="none" w:color="000000" w:sz="4"/>
                    <w:bottom w:val="single" w:color="000000" w:sz="4"/>
                    <w:right w:val="single" w:color="000000" w:sz="4"/>
                  </w:tcBorders>
                  <w:vAlign w:val="top"/>
                </w:tcPr>
                <w:p>
                  <w:pPr>
                    <w:jc w:val="center"/>
                  </w:pPr>
                  <w:r>
                    <w:rPr>
                      <w:sz w:val="21"/>
                    </w:rPr>
                    <w:t>150</w:t>
                  </w:r>
                </w:p>
              </w:tc>
              <w:tc>
                <w:tcPr>
                  <w:tcW w:type="dxa" w:w="902"/>
                  <w:tcBorders>
                    <w:top w:val="none" w:color="000000" w:sz="4"/>
                    <w:left w:val="none" w:color="000000" w:sz="4"/>
                    <w:bottom w:val="single" w:color="000000" w:sz="4"/>
                    <w:right w:val="single" w:color="000000" w:sz="4"/>
                  </w:tcBorders>
                  <w:vAlign w:val="top"/>
                </w:tcPr>
                <w:p>
                  <w:pPr>
                    <w:jc w:val="center"/>
                  </w:pPr>
                  <w:r>
                    <w:rPr>
                      <w:sz w:val="21"/>
                    </w:rPr>
                    <w:t>床</w:t>
                  </w:r>
                </w:p>
              </w:tc>
              <w:tc>
                <w:tcPr>
                  <w:tcW w:type="dxa" w:w="1326"/>
                  <w:tcBorders>
                    <w:top w:val="none" w:color="000000" w:sz="4"/>
                    <w:left w:val="none" w:color="000000" w:sz="4"/>
                    <w:bottom w:val="single" w:color="000000" w:sz="4"/>
                    <w:right w:val="single" w:color="000000" w:sz="4"/>
                  </w:tcBorders>
                  <w:vAlign w:val="top"/>
                </w:tcPr>
                <w:p>
                  <w:pPr>
                    <w:jc w:val="left"/>
                  </w:pPr>
                  <w:r>
                    <w:rPr>
                      <w:sz w:val="21"/>
                    </w:rPr>
                    <w:t>含智能化设备通讯费用。每月至少上门10次，每次至少1小时。</w:t>
                  </w:r>
                </w:p>
              </w:tc>
            </w:tr>
            <w:tr>
              <w:tc>
                <w:tcPr>
                  <w:tcW w:type="dxa" w:w="2564"/>
                  <w:tcBorders>
                    <w:top w:val="none" w:color="000000" w:sz="4"/>
                    <w:left w:val="single" w:color="000000" w:sz="4"/>
                    <w:bottom w:val="single" w:color="000000" w:sz="4"/>
                    <w:right w:val="single" w:color="000000" w:sz="4"/>
                  </w:tcBorders>
                  <w:vAlign w:val="top"/>
                </w:tcPr>
                <w:p>
                  <w:pPr>
                    <w:jc w:val="center"/>
                  </w:pPr>
                  <w:r>
                    <w:rPr>
                      <w:sz w:val="21"/>
                    </w:rPr>
                    <w:t>上门服务（</w:t>
                  </w:r>
                  <w:r>
                    <w:rPr>
                      <w:sz w:val="21"/>
                    </w:rPr>
                    <w:t>安装家庭养老床位以外的老年人）</w:t>
                  </w:r>
                </w:p>
              </w:tc>
              <w:tc>
                <w:tcPr>
                  <w:tcW w:type="dxa" w:w="804"/>
                  <w:tcBorders>
                    <w:top w:val="none" w:color="000000" w:sz="4"/>
                    <w:left w:val="none" w:color="000000" w:sz="4"/>
                    <w:bottom w:val="single" w:color="000000" w:sz="4"/>
                    <w:right w:val="single" w:color="000000" w:sz="4"/>
                  </w:tcBorders>
                  <w:vAlign w:val="top"/>
                </w:tcPr>
                <w:p>
                  <w:pPr>
                    <w:jc w:val="center"/>
                  </w:pPr>
                  <w:r>
                    <w:rPr>
                      <w:sz w:val="21"/>
                    </w:rPr>
                    <w:t>4020</w:t>
                  </w:r>
                </w:p>
              </w:tc>
              <w:tc>
                <w:tcPr>
                  <w:tcW w:type="dxa" w:w="902"/>
                  <w:tcBorders>
                    <w:top w:val="none" w:color="000000" w:sz="4"/>
                    <w:left w:val="none" w:color="000000" w:sz="4"/>
                    <w:bottom w:val="single" w:color="000000" w:sz="4"/>
                    <w:right w:val="single" w:color="000000" w:sz="4"/>
                  </w:tcBorders>
                  <w:vAlign w:val="top"/>
                </w:tcPr>
                <w:p>
                  <w:pPr>
                    <w:jc w:val="center"/>
                  </w:pPr>
                  <w:r>
                    <w:rPr>
                      <w:sz w:val="21"/>
                    </w:rPr>
                    <w:t>人次</w:t>
                  </w:r>
                </w:p>
              </w:tc>
              <w:tc>
                <w:tcPr>
                  <w:tcW w:type="dxa" w:w="1326"/>
                  <w:tcBorders>
                    <w:top w:val="none" w:color="000000" w:sz="4"/>
                    <w:left w:val="none" w:color="000000" w:sz="4"/>
                    <w:bottom w:val="single" w:color="000000" w:sz="4"/>
                    <w:right w:val="single" w:color="000000" w:sz="4"/>
                  </w:tcBorders>
                  <w:vAlign w:val="top"/>
                </w:tcPr>
                <w:p>
                  <w:pPr>
                    <w:jc w:val="center"/>
                  </w:pPr>
                </w:p>
              </w:tc>
            </w:tr>
          </w:tbl>
          <w:p>
            <w:pPr>
              <w:jc w:val="both"/>
            </w:pPr>
            <w:r>
              <w:rPr>
                <w:b/>
                <w:sz w:val="21"/>
              </w:rPr>
              <w:t>以上为预算资金安排，最终结算按合同各项单价报价，据实结算，总价不可超上限。</w:t>
            </w:r>
          </w:p>
        </w:tc>
      </w:tr>
      <w:tr>
        <w:tc>
          <w:tcPr>
            <w:tcW w:type="dxa" w:w="2076"/>
          </w:tcPr>
          <w:p/>
        </w:tc>
        <w:tc>
          <w:tcPr>
            <w:tcW w:type="dxa" w:w="415"/>
          </w:tcPr>
          <w:p>
            <w:r>
              <w:rPr/>
              <w:t>5</w:t>
            </w:r>
          </w:p>
        </w:tc>
        <w:tc>
          <w:tcPr>
            <w:tcW w:type="dxa" w:w="5814"/>
          </w:tcPr>
          <w:p>
            <w:pPr>
              <w:jc w:val="both"/>
            </w:pPr>
            <w:r>
              <w:rPr>
                <w:b/>
                <w:sz w:val="21"/>
              </w:rPr>
              <w:t>五、</w:t>
            </w:r>
            <w:r>
              <w:rPr>
                <w:b/>
                <w:sz w:val="21"/>
              </w:rPr>
              <w:t>服务期限</w:t>
            </w:r>
          </w:p>
          <w:p>
            <w:pPr>
              <w:ind w:firstLine="420"/>
              <w:jc w:val="both"/>
            </w:pPr>
            <w:r>
              <w:rPr>
                <w:sz w:val="21"/>
              </w:rPr>
              <w:t>自合同签订之日两年</w:t>
            </w:r>
            <w:r>
              <w:rPr>
                <w:sz w:val="21"/>
              </w:rPr>
              <w:t>。</w:t>
            </w:r>
          </w:p>
        </w:tc>
      </w:tr>
      <w:tr>
        <w:tc>
          <w:tcPr>
            <w:tcW w:type="dxa" w:w="2076"/>
          </w:tcPr>
          <w:p/>
        </w:tc>
        <w:tc>
          <w:tcPr>
            <w:tcW w:type="dxa" w:w="415"/>
          </w:tcPr>
          <w:p>
            <w:r>
              <w:rPr/>
              <w:t>6</w:t>
            </w:r>
          </w:p>
        </w:tc>
        <w:tc>
          <w:tcPr>
            <w:tcW w:type="dxa" w:w="5814"/>
          </w:tcPr>
          <w:p>
            <w:pPr>
              <w:jc w:val="both"/>
            </w:pPr>
            <w:r>
              <w:rPr>
                <w:b/>
                <w:sz w:val="21"/>
              </w:rPr>
              <w:t>六</w:t>
            </w:r>
            <w:r>
              <w:rPr>
                <w:b/>
                <w:sz w:val="21"/>
              </w:rPr>
              <w:t>、</w:t>
            </w:r>
            <w:r>
              <w:rPr>
                <w:b/>
                <w:sz w:val="21"/>
              </w:rPr>
              <w:t>供应商要求</w:t>
            </w:r>
          </w:p>
          <w:p>
            <w:pPr>
              <w:jc w:val="both"/>
            </w:pPr>
            <w:r>
              <w:rPr>
                <w:sz w:val="21"/>
              </w:rPr>
              <w:t>依法登记成立并具备相应服务资质或组织具备相应服务资质或社会组织章程包含居家养老上门服务种类。</w:t>
            </w:r>
          </w:p>
        </w:tc>
      </w:tr>
      <w:tr>
        <w:tc>
          <w:tcPr>
            <w:tcW w:type="dxa" w:w="2076"/>
          </w:tcPr>
          <w:p/>
        </w:tc>
        <w:tc>
          <w:tcPr>
            <w:tcW w:type="dxa" w:w="415"/>
          </w:tcPr>
          <w:p>
            <w:r>
              <w:rPr/>
              <w:t>7</w:t>
            </w:r>
          </w:p>
        </w:tc>
        <w:tc>
          <w:tcPr>
            <w:tcW w:type="dxa" w:w="5814"/>
          </w:tcPr>
          <w:p>
            <w:pPr>
              <w:jc w:val="both"/>
            </w:pPr>
            <w:r>
              <w:rPr>
                <w:b/>
                <w:sz w:val="21"/>
              </w:rPr>
              <w:t>七</w:t>
            </w:r>
            <w:r>
              <w:rPr>
                <w:b/>
                <w:sz w:val="21"/>
              </w:rPr>
              <w:t>、付款方式</w:t>
            </w:r>
          </w:p>
          <w:p>
            <w:pPr>
              <w:ind w:firstLine="420"/>
              <w:jc w:val="both"/>
            </w:pPr>
            <w:r>
              <w:rPr>
                <w:sz w:val="21"/>
              </w:rPr>
              <w:t>1、预付款：双方签订项目合同书后10个工作日内，甲方向乙方支付合同总金额的25%作为本项目的预付款。</w:t>
            </w:r>
            <w:r>
              <w:br/>
            </w:r>
            <w:r>
              <w:rPr>
                <w:sz w:val="21"/>
              </w:rPr>
              <w:t xml:space="preserve">   </w:t>
            </w:r>
            <w:r>
              <w:rPr>
                <w:sz w:val="21"/>
              </w:rPr>
              <w:t>2、进度款：乙方完成预付款的结算计价量后，</w:t>
            </w:r>
            <w:r>
              <w:rPr>
                <w:sz w:val="21"/>
              </w:rPr>
              <w:t>每</w:t>
            </w:r>
            <w:r>
              <w:rPr>
                <w:sz w:val="21"/>
              </w:rPr>
              <w:t>1个月必须通过验收，</w:t>
            </w:r>
            <w:r>
              <w:rPr>
                <w:sz w:val="21"/>
              </w:rPr>
              <w:t>每</w:t>
            </w:r>
            <w:r>
              <w:rPr>
                <w:sz w:val="21"/>
              </w:rPr>
              <w:t>3个月计价结算1次，结算计价后10个工作日内，甲方支付进度款。</w:t>
            </w:r>
            <w:r>
              <w:br/>
            </w:r>
            <w:r>
              <w:rPr>
                <w:sz w:val="21"/>
              </w:rPr>
              <w:t xml:space="preserve">   </w:t>
            </w:r>
            <w:r>
              <w:rPr>
                <w:sz w:val="21"/>
              </w:rPr>
              <w:t>3、乙方凭以下有效文件与甲方结算：</w:t>
            </w:r>
            <w:r>
              <w:br/>
            </w:r>
            <w:r>
              <w:rPr>
                <w:sz w:val="21"/>
              </w:rPr>
              <w:t>1）合同；</w:t>
            </w:r>
            <w:r>
              <w:br/>
            </w:r>
            <w:r>
              <w:rPr>
                <w:sz w:val="21"/>
              </w:rPr>
              <w:t>2）中标人开具的正式发票；</w:t>
            </w:r>
            <w:r>
              <w:br/>
            </w:r>
            <w:r>
              <w:rPr>
                <w:sz w:val="21"/>
              </w:rPr>
              <w:t>3）中标通知书；</w:t>
            </w:r>
            <w:r>
              <w:br/>
            </w:r>
            <w:r>
              <w:rPr>
                <w:sz w:val="21"/>
              </w:rPr>
              <w:t>4）甲方双方签名验收确认的凭证；</w:t>
            </w:r>
            <w:r>
              <w:br/>
            </w:r>
            <w:r>
              <w:rPr>
                <w:sz w:val="21"/>
              </w:rPr>
              <w:t>5）财政部门要求提交的其他资料；</w:t>
            </w:r>
            <w:r>
              <w:br/>
            </w:r>
            <w:r>
              <w:rPr>
                <w:sz w:val="21"/>
              </w:rPr>
              <w:t>6）由于资金属于财政支付资金，付款时限以递交财政部门支付资料时间为准。</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1.采购代理机构：本项目是指云浮市亿鑫招标采购代理有限公司，负责整个采购活动的组织，依法负责编制和发布磋商文件，对磋商文件拥有最终的解释权，不以任何身份出任磋商小组成员。</w:t>
      </w:r>
    </w:p>
    <w:p>
      <w:pPr>
        <w:ind w:firstLine="480"/>
      </w:pPr>
      <w:r>
        <w:rPr/>
        <w:t>2.采购人：本项目是指</w:t>
      </w:r>
      <w:r>
        <w:rPr/>
        <w:t>云浮市云安区民政局</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采购机构代理服务收费标准：1.以成交通知书中成交金额作为招标代理服务费的计算基数。 （1）招标代理服务费收费采用差额定率累进法计算方式。按中华人民共和国国家发展计划委员会颁发的计价格[2002]1980号、国家发改委[2003]857号及发改价格2011 534 号文规定的“服务类”计算。 （2）招标代理服务费的缴纳形式： 向政府采购代理机构直接缴纳招标代理服务费。可用支票、汇票、电汇等付款方式；招标代理服务费付至： 收款单位名称：云浮市亿鑫招标采购代理有限公司 账 号： 44050182860800000411 开户银行：中国建设银行股份有限公司云浮市分行 2.响应供应商应签署第七章所附格式的招标代理服务费承诺书，作为响应文件的一部分。 3.成交供应商须向采购代理机构交纳招标代理服务费后，凭领取人身份证复印件并加盖公章邮寄至采购代理机构领取《成交通知书》。如采用电汇或银行转账，须同时递交招标代理服务费缴费凭证复印件并加盖公章。</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1</w:t>
            </w:r>
            <w:r>
              <w:rPr/>
              <w:t>份。供应商保证该后备步骤。</w:t>
            </w:r>
          </w:p>
          <w:p>
            <w:r>
              <w:rPr/>
              <w:t>（3）纸质响应文件正本</w:t>
            </w:r>
            <w:r>
              <w:rPr/>
              <w:t>1</w:t>
            </w:r>
            <w:r>
              <w:rPr/>
              <w:t>份，纸质响应文件副本</w:t>
            </w:r>
            <w:r>
              <w:rPr/>
              <w:t>4</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云浮市亿鑫招标采购代理有限公司</w:t>
      </w:r>
      <w:r>
        <w:rPr/>
        <w:t>代收。具体操作要求详见</w:t>
      </w:r>
      <w:r>
        <w:rPr/>
        <w:t>云浮市亿鑫招标采购代理有限公司</w:t>
      </w:r>
      <w:r>
        <w:rPr/>
        <w:t>有关指引，递交事宜请自行咨询</w:t>
      </w:r>
      <w:r>
        <w:rPr/>
        <w:t>云浮市亿鑫招标采购代理有限公司</w:t>
      </w:r>
      <w:r>
        <w:rPr/>
        <w:t>；请各供应商在响应文件递交截止时间前按须知前附表规定的金额递交至</w:t>
      </w:r>
      <w:r>
        <w:rPr/>
        <w:t>云浮市亿鑫招标采购代理有限公司</w:t>
      </w:r>
      <w:r>
        <w:rPr/>
        <w:t>，到账情况以开启时</w:t>
      </w:r>
      <w:r>
        <w:rPr/>
        <w:t>云浮市亿鑫招标采购代理有限公司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yunfuyixin@qq.com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yunfuyixin@qq.com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陈小姐</w:t>
      </w:r>
    </w:p>
    <w:p>
      <w:pPr>
        <w:ind w:firstLine="480"/>
      </w:pPr>
      <w:r>
        <w:rPr/>
        <w:t>电话：</w:t>
      </w:r>
      <w:r>
        <w:rPr/>
        <w:t>0766-6616288</w:t>
      </w:r>
    </w:p>
    <w:p>
      <w:pPr>
        <w:ind w:firstLine="480"/>
      </w:pPr>
      <w:r>
        <w:rPr/>
        <w:t>传真：</w:t>
      </w:r>
      <w:r>
        <w:rPr/>
        <w:t>0766-6616288</w:t>
      </w:r>
    </w:p>
    <w:p>
      <w:pPr>
        <w:ind w:firstLine="480"/>
      </w:pPr>
      <w:r>
        <w:rPr/>
        <w:t>邮箱：</w:t>
      </w:r>
      <w:r>
        <w:rPr/>
        <w:t>yunfuyixin@qq.com</w:t>
      </w:r>
    </w:p>
    <w:p>
      <w:pPr>
        <w:ind w:firstLine="480"/>
      </w:pPr>
      <w:r>
        <w:rPr/>
        <w:t>地址：</w:t>
      </w:r>
      <w:r>
        <w:rPr/>
        <w:t>广东省云浮市云城区云城街道富华南路68号二楼</w:t>
      </w:r>
    </w:p>
    <w:p>
      <w:pPr>
        <w:ind w:firstLine="480"/>
      </w:pPr>
      <w:r>
        <w:rPr/>
        <w:t>邮编：</w:t>
      </w:r>
      <w:r>
        <w:rPr/>
        <w:t>527300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政府采购监督管理机构名称：云浮市云安区财政局政府采购监管股</w:t>
      </w:r>
    </w:p>
    <w:p>
      <w:r>
        <w:rPr/>
        <w:t>地  址：云浮市云安区白沙塘行政区</w:t>
      </w:r>
    </w:p>
    <w:p>
      <w:r>
        <w:rPr/>
        <w:t>电  话：0766-8638173</w:t>
      </w:r>
    </w:p>
    <w:p>
      <w:r>
        <w:rPr/>
        <w:t>邮  编：527500</w:t>
      </w:r>
    </w:p>
    <w:p>
      <w:r>
        <w:rPr/>
        <w:t>传  真：-</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云安区民政局2021年居家和社区基本养老服务提升行动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云浮市亿鑫招标采购代理有限公司</w:t>
      </w:r>
      <w:r>
        <w:rPr/>
        <w:t>统一对外发布。</w:t>
      </w:r>
    </w:p>
    <w:p>
      <w:pPr>
        <w:ind w:firstLine="480"/>
      </w:pPr>
      <w:r>
        <w:rPr/>
        <w:t>（2）对</w:t>
      </w:r>
      <w:r>
        <w:rPr/>
        <w:t>云浮市亿鑫招标采购代理有限公司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采购包1（云安区民政局2021年居家和社区基本养老服务提升行动项目）：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采购包1（云安区民政局2021年居家和社区基本养老服务提升行动项目）：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资质要求</w:t>
            </w:r>
          </w:p>
        </w:tc>
        <w:tc>
          <w:tcPr>
            <w:tcW w:type="dxa" w:w="4238"/>
          </w:tcPr>
          <w:p>
            <w:r>
              <w:rPr/>
              <w:t>供应商须依法登记成立并具备相应服务资质或组织具备相应服务资质或社会组织章程包含居家养老上门服务种类。</w:t>
            </w:r>
          </w:p>
        </w:tc>
      </w:tr>
      <w:tr>
        <w:tc>
          <w:tcPr>
            <w:tcW w:type="dxa" w:w="890"/>
          </w:tcPr>
          <w:p>
            <w:r>
              <w:rPr/>
              <w:t>9</w:t>
            </w:r>
          </w:p>
        </w:tc>
        <w:tc>
          <w:tcPr>
            <w:tcW w:type="dxa" w:w="3178"/>
          </w:tcPr>
          <w:p>
            <w:r>
              <w:rPr/>
              <w:t>本采购包专门面向中小企业采购</w:t>
            </w:r>
          </w:p>
        </w:tc>
        <w:tc>
          <w:tcPr>
            <w:tcW w:type="dxa" w:w="4238"/>
          </w:tcPr>
          <w:p>
            <w:r>
              <w:rPr/>
              <w:t>参与的供应商（联合体）服务全部由符合政策要求的中小企业承接。</w:t>
            </w:r>
          </w:p>
        </w:tc>
      </w:tr>
    </w:tbl>
    <w:p/>
    <w:p>
      <w:pPr>
        <w:ind w:firstLine="480"/>
      </w:pPr>
      <w:r>
        <w:rPr/>
        <w:t>表二符合性审查表：</w:t>
      </w:r>
    </w:p>
    <w:p>
      <w:pPr>
        <w:ind w:firstLine="480"/>
      </w:pPr>
    </w:p>
    <w:p/>
    <w:p>
      <w:r>
        <w:rPr/>
        <w:t>采购包1（云安区民政局2021年居家和社区基本养老服务提升行动项目）：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竞争性磋商文件的签署、盖章</w:t>
            </w:r>
          </w:p>
        </w:tc>
        <w:tc>
          <w:tcPr>
            <w:tcW w:type="dxa" w:w="4238"/>
          </w:tcPr>
          <w:p>
            <w:r>
              <w:rPr/>
              <w:t>按照竞争性磋商文件规定要求签署、盖章且响应文件有法定代表人签字或盖章，或签字人有法定代表人有效授权书的；</w:t>
            </w:r>
          </w:p>
        </w:tc>
      </w:tr>
      <w:tr>
        <w:tc>
          <w:tcPr>
            <w:tcW w:type="dxa" w:w="890"/>
          </w:tcPr>
          <w:p>
            <w:r>
              <w:rPr/>
              <w:t>2</w:t>
            </w:r>
          </w:p>
        </w:tc>
        <w:tc>
          <w:tcPr>
            <w:tcW w:type="dxa" w:w="3178"/>
          </w:tcPr>
          <w:p>
            <w:r>
              <w:rPr/>
              <w:t>磋商函</w:t>
            </w:r>
          </w:p>
        </w:tc>
        <w:tc>
          <w:tcPr>
            <w:tcW w:type="dxa" w:w="4238"/>
          </w:tcPr>
          <w:p>
            <w:r>
              <w:rPr/>
              <w:t>磋商函已提交并符合竞争性磋商文件要求的；</w:t>
            </w:r>
          </w:p>
        </w:tc>
      </w:tr>
      <w:tr>
        <w:tc>
          <w:tcPr>
            <w:tcW w:type="dxa" w:w="890"/>
          </w:tcPr>
          <w:p>
            <w:r>
              <w:rPr/>
              <w:t>3</w:t>
            </w:r>
          </w:p>
        </w:tc>
        <w:tc>
          <w:tcPr>
            <w:tcW w:type="dxa" w:w="3178"/>
          </w:tcPr>
          <w:p>
            <w:r>
              <w:rPr/>
              <w:t>首次报价</w:t>
            </w:r>
          </w:p>
        </w:tc>
        <w:tc>
          <w:tcPr>
            <w:tcW w:type="dxa" w:w="4238"/>
          </w:tcPr>
          <w:p>
            <w:r>
              <w:rPr/>
              <w:t>首次报价未超过本项目的最高限价的；</w:t>
            </w:r>
          </w:p>
        </w:tc>
      </w:tr>
      <w:tr>
        <w:tc>
          <w:tcPr>
            <w:tcW w:type="dxa" w:w="890"/>
          </w:tcPr>
          <w:p>
            <w:r>
              <w:rPr/>
              <w:t>4</w:t>
            </w:r>
          </w:p>
        </w:tc>
        <w:tc>
          <w:tcPr>
            <w:tcW w:type="dxa" w:w="3178"/>
          </w:tcPr>
          <w:p>
            <w:r>
              <w:rPr/>
              <w:t>其它无效投标条款</w:t>
            </w:r>
          </w:p>
        </w:tc>
        <w:tc>
          <w:tcPr>
            <w:tcW w:type="dxa" w:w="4238"/>
          </w:tcPr>
          <w:p>
            <w:r>
              <w:rPr/>
              <w:t>响应文件没有竞争性磋商文件中规定的其它无效投标条款的；</w:t>
            </w:r>
          </w:p>
        </w:tc>
      </w:tr>
      <w:tr>
        <w:tc>
          <w:tcPr>
            <w:tcW w:type="dxa" w:w="890"/>
          </w:tcPr>
          <w:p>
            <w:r>
              <w:rPr/>
              <w:t>5</w:t>
            </w:r>
          </w:p>
        </w:tc>
        <w:tc>
          <w:tcPr>
            <w:tcW w:type="dxa" w:w="3178"/>
          </w:tcPr>
          <w:p>
            <w:r>
              <w:rPr/>
              <w:t>投标无效</w:t>
            </w:r>
          </w:p>
        </w:tc>
        <w:tc>
          <w:tcPr>
            <w:tcW w:type="dxa" w:w="4238"/>
          </w:tcPr>
          <w:p>
            <w:r>
              <w:rPr/>
              <w:t>按有关法律、法规、规章不属于投标无效的。</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采购包1云安区民政局2021年居家和社区基本养老服务提升行动项目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技术部分50.0分</w:t>
            </w:r>
          </w:p>
          <w:p>
            <w:r>
              <w:rPr/>
              <w:t>报价得分20.0分</w:t>
            </w:r>
          </w:p>
        </w:tc>
      </w:tr>
      <w:tr>
        <w:tc>
          <w:tcPr>
            <w:tcW w:type="dxa" w:w="922"/>
            <w:gridSpan w:val="2"/>
            <w:vMerge w:val="restart"/>
          </w:tcPr>
          <w:p>
            <w:pPr>
              <w:jc w:val="center"/>
            </w:pPr>
            <w:r>
              <w:rPr/>
              <w:t>技术部分</w:t>
            </w:r>
          </w:p>
        </w:tc>
        <w:tc>
          <w:tcPr>
            <w:tcW w:type="dxa" w:w="2307"/>
          </w:tcPr>
          <w:p>
            <w:pPr>
              <w:jc w:val="left"/>
            </w:pPr>
            <w:r>
              <w:rPr/>
              <w:t>对本项目的了解及熟悉情况 (10.0分)</w:t>
            </w:r>
          </w:p>
        </w:tc>
        <w:tc>
          <w:tcPr>
            <w:tcW w:type="dxa" w:w="5076"/>
          </w:tcPr>
          <w:p>
            <w:pPr>
              <w:jc w:val="left"/>
            </w:pPr>
            <w:r>
              <w:rPr/>
              <w:t>根据响应供应商提供的对本项目的了解及熟悉情况方案（项目内容、服务对象、服务需求、服务政策、服务环境）进行综合评审：  （1）响应供应商对本项目现状的熟悉、理解程度：非常熟悉、了解程度深，得10分；   （2）响应供应商对本项目现状的熟悉、理解程度：较熟悉了解，得 7分；  （3）响应供应商对本项目现状的熟悉、理解程度：基本了解，得4分；  （4）响应供应商对本项目现状的熟悉、理解程度：基本不了解，得1分。 （5）不提供不得分。</w:t>
            </w:r>
          </w:p>
        </w:tc>
      </w:tr>
      <w:tr>
        <w:tc>
          <w:tcPr>
            <w:tcW w:type="dxa" w:w="922"/>
            <w:gridSpan w:val="2"/>
            <w:vMerge/>
          </w:tcPr>
          <w:p/>
        </w:tc>
        <w:tc>
          <w:tcPr>
            <w:tcW w:type="dxa" w:w="2307"/>
          </w:tcPr>
          <w:p>
            <w:pPr>
              <w:jc w:val="left"/>
            </w:pPr>
            <w:r>
              <w:rPr/>
              <w:t>服务方案 (10.0分)</w:t>
            </w:r>
          </w:p>
        </w:tc>
        <w:tc>
          <w:tcPr>
            <w:tcW w:type="dxa" w:w="5076"/>
          </w:tcPr>
          <w:p>
            <w:pPr>
              <w:jc w:val="left"/>
            </w:pPr>
            <w:r>
              <w:rPr/>
              <w:t>对项目要求分析是否准确，方案是否全面、合理；服务实施流程是否科学、可行、能否满足用户需求，是否能根据项目特点提出合理化建议（不限于服务目的、服务内容、服务指标、服务标准、服务实施过程等）。   （1）服务方案完善、合理，符合项目实际情况，人员配备充分，分工明确，得10分；   （2）服务方案完善、合理，符合项目实际情况，人员配备较充分，分工较明确，得7分；   （3）服务方案一般，基本符合项目实际情况，人员分工不明确，不充分，得4分；   （4）服务方案有缺陷，不符合项目实际情况，人员配备不充分，分工不明确，得1分。 （5）不提供不得分。</w:t>
            </w:r>
          </w:p>
        </w:tc>
      </w:tr>
      <w:tr>
        <w:tc>
          <w:tcPr>
            <w:tcW w:type="dxa" w:w="922"/>
            <w:gridSpan w:val="2"/>
            <w:vMerge/>
          </w:tcPr>
          <w:p/>
        </w:tc>
        <w:tc>
          <w:tcPr>
            <w:tcW w:type="dxa" w:w="2307"/>
          </w:tcPr>
          <w:p>
            <w:pPr>
              <w:jc w:val="left"/>
            </w:pPr>
            <w:r>
              <w:rPr/>
              <w:t>内部管理方案 (8.0分)</w:t>
            </w:r>
          </w:p>
        </w:tc>
        <w:tc>
          <w:tcPr>
            <w:tcW w:type="dxa" w:w="5076"/>
          </w:tcPr>
          <w:p>
            <w:pPr>
              <w:jc w:val="left"/>
            </w:pPr>
            <w:r>
              <w:rPr/>
              <w:t>针对响应供应商对项目内部的管理方案、财务制度等进行综合评审（不限服务机构架构及制度、服务跟踪监管、服务回访、服务培训、服务流程、财务管理等制度）：  （1）具有完善的内部管理制度、财务管理制度及人员管理制度， 安全、保密制度完善，可操作性强的得8分；  （2）内部管理制度、财务管理制度及人员管理制度一般，安全、保密制度较为完善可操作性一般的得5分；    （3）内部管理制度、财务管理制度及人管理制度不完善，安全、保密制度较差，可操作性不强的得2分。 （4）不提供不得分。</w:t>
            </w:r>
          </w:p>
        </w:tc>
      </w:tr>
      <w:tr>
        <w:tc>
          <w:tcPr>
            <w:tcW w:type="dxa" w:w="922"/>
            <w:gridSpan w:val="2"/>
            <w:vMerge/>
          </w:tcPr>
          <w:p/>
        </w:tc>
        <w:tc>
          <w:tcPr>
            <w:tcW w:type="dxa" w:w="2307"/>
          </w:tcPr>
          <w:p>
            <w:pPr>
              <w:jc w:val="left"/>
            </w:pPr>
            <w:r>
              <w:rPr/>
              <w:t>服务指引 (8.0分)</w:t>
            </w:r>
          </w:p>
        </w:tc>
        <w:tc>
          <w:tcPr>
            <w:tcW w:type="dxa" w:w="5076"/>
          </w:tcPr>
          <w:p>
            <w:pPr>
              <w:jc w:val="left"/>
            </w:pPr>
            <w:r>
              <w:rPr/>
              <w:t>针对响应供应商对居家养老服务的相关指引进行综合评审（不限于服务质量保证、上门服务指引、管理、培训等）：  （1）具有完善的服务指引对居家上门服务的开展内容的指引，指引详细，内容充实、可操作性强的得8分；   （2）具有完善的服务指引对居家上门服务的开展内容的指引，指引一般，内容一般、可操作性一般的得5分；   （3）具有完善的服务指引对居家上门服务的开展内容的指引，指引较差，内容较差、可操作性较差的得2分； （4）不提供不得分。</w:t>
            </w:r>
          </w:p>
        </w:tc>
      </w:tr>
      <w:tr>
        <w:tc>
          <w:tcPr>
            <w:tcW w:type="dxa" w:w="922"/>
            <w:gridSpan w:val="2"/>
            <w:vMerge/>
          </w:tcPr>
          <w:p/>
        </w:tc>
        <w:tc>
          <w:tcPr>
            <w:tcW w:type="dxa" w:w="2307"/>
          </w:tcPr>
          <w:p>
            <w:pPr>
              <w:jc w:val="left"/>
            </w:pPr>
            <w:r>
              <w:rPr/>
              <w:t>项目进度计划 (7.0分)</w:t>
            </w:r>
          </w:p>
        </w:tc>
        <w:tc>
          <w:tcPr>
            <w:tcW w:type="dxa" w:w="5076"/>
          </w:tcPr>
          <w:p>
            <w:pPr>
              <w:jc w:val="left"/>
            </w:pPr>
            <w:r>
              <w:rPr/>
              <w:t>根据响应供应商针对本项目的项目进度计划（包含但不限于项目进度安排、进度把控措施、人员投入、阶段性任务要求等）是否详细、合理进行评审：  （1）响应供应商针对本项目的项目进度计划详细、合理的，得7分；  （2）响应供应商针对本项目的项目进度计划较详细、较合理的，得4分；  （3）响应供应商针对本项目的项目进度计划不够详细、不够合理或不提供的，得1分； （4）不提供不得分。</w:t>
            </w:r>
          </w:p>
        </w:tc>
      </w:tr>
      <w:tr>
        <w:tc>
          <w:tcPr>
            <w:tcW w:type="dxa" w:w="922"/>
            <w:gridSpan w:val="2"/>
            <w:vMerge/>
          </w:tcPr>
          <w:p/>
        </w:tc>
        <w:tc>
          <w:tcPr>
            <w:tcW w:type="dxa" w:w="2307"/>
          </w:tcPr>
          <w:p>
            <w:pPr>
              <w:jc w:val="left"/>
            </w:pPr>
            <w:r>
              <w:rPr/>
              <w:t>应急处理方案 (7.0分)</w:t>
            </w:r>
          </w:p>
        </w:tc>
        <w:tc>
          <w:tcPr>
            <w:tcW w:type="dxa" w:w="5076"/>
          </w:tcPr>
          <w:p>
            <w:pPr>
              <w:jc w:val="left"/>
            </w:pPr>
            <w:r>
              <w:rPr/>
              <w:t>对响应供应商应对突发事件应急预案是否科学、完善 （不限于工作人员服务安全指引、响应流程、针对疫情、火灾、食品安全等应急方案等）进行评审。   （1）针对本项目突发事件的处理措施和应急预案最详细，得7 分；   （2）针对本项目突发事件的处理措施和应急预案一般，得4分；   （3）针对本项目突发事件的处理措施和应急预案满足要求情况较差或不能满足，得1分； （4）不提供不得分。</w:t>
            </w:r>
          </w:p>
        </w:tc>
      </w:tr>
      <w:tr>
        <w:tc>
          <w:tcPr>
            <w:tcW w:type="dxa" w:w="922"/>
            <w:gridSpan w:val="2"/>
            <w:vMerge w:val="restart"/>
          </w:tcPr>
          <w:p>
            <w:pPr>
              <w:jc w:val="center"/>
            </w:pPr>
            <w:r>
              <w:rPr/>
              <w:t>商务部分</w:t>
            </w:r>
          </w:p>
        </w:tc>
        <w:tc>
          <w:tcPr>
            <w:tcW w:type="dxa" w:w="2307"/>
          </w:tcPr>
          <w:p>
            <w:pPr>
              <w:jc w:val="left"/>
            </w:pPr>
            <w:r>
              <w:rPr/>
              <w:t>同类项目业绩情况 (10.0分)</w:t>
            </w:r>
          </w:p>
        </w:tc>
        <w:tc>
          <w:tcPr>
            <w:tcW w:type="dxa" w:w="5076"/>
          </w:tcPr>
          <w:p>
            <w:pPr>
              <w:jc w:val="left"/>
            </w:pPr>
            <w:r>
              <w:rPr/>
              <w:t>响应供应商2019年至今曾经承接过社工服务或养老运营、督导或咨询项目，每提供1项有效业绩得2分，最高得10分。  注：要求提供合同作为依据。以上资料均要求提供复印件并加盖公章，不提供不得分。</w:t>
            </w:r>
          </w:p>
        </w:tc>
      </w:tr>
      <w:tr>
        <w:tc>
          <w:tcPr>
            <w:tcW w:type="dxa" w:w="922"/>
            <w:gridSpan w:val="2"/>
            <w:vMerge/>
          </w:tcPr>
          <w:p/>
        </w:tc>
        <w:tc>
          <w:tcPr>
            <w:tcW w:type="dxa" w:w="2307"/>
          </w:tcPr>
          <w:p>
            <w:pPr>
              <w:jc w:val="left"/>
            </w:pPr>
            <w:r>
              <w:rPr/>
              <w:t>获奖情况 (4.0分)</w:t>
            </w:r>
          </w:p>
        </w:tc>
        <w:tc>
          <w:tcPr>
            <w:tcW w:type="dxa" w:w="5076"/>
          </w:tcPr>
          <w:p>
            <w:pPr>
              <w:jc w:val="left"/>
            </w:pPr>
            <w:r>
              <w:rPr/>
              <w:t>响应供应商2019年至今曾获得过国家级社工服务或养老运营服务相关奖项的，每提供一项得1.5分；省级社工服务或养老运营服务相关奖项的，每提供一项得1分；市级社工服务或养老运营服务相关奖项的，每提供一项得0.5分；可累计得分，最高得4分。  注：要求提供获奖证书作为依据。以上资料均要求提供复印件并加盖公章，不提供不得分。</w:t>
            </w:r>
          </w:p>
        </w:tc>
      </w:tr>
      <w:tr>
        <w:tc>
          <w:tcPr>
            <w:tcW w:type="dxa" w:w="922"/>
            <w:gridSpan w:val="2"/>
            <w:vMerge/>
          </w:tcPr>
          <w:p/>
        </w:tc>
        <w:tc>
          <w:tcPr>
            <w:tcW w:type="dxa" w:w="2307"/>
          </w:tcPr>
          <w:p>
            <w:pPr>
              <w:jc w:val="left"/>
            </w:pPr>
            <w:r>
              <w:rPr/>
              <w:t>响应供应商具备的信息化及产品提供能力 (4.0分)</w:t>
            </w:r>
          </w:p>
        </w:tc>
        <w:tc>
          <w:tcPr>
            <w:tcW w:type="dxa" w:w="5076"/>
          </w:tcPr>
          <w:p>
            <w:pPr>
              <w:jc w:val="left"/>
            </w:pPr>
            <w:r>
              <w:rPr/>
              <w:t>根据响应供应商提供的对本项目的产品提供的情况进行综合评审：  （1）能够对老年人住所的卧室、卫生间、浴室、厨房、客厅等关键位置进行适老化改造最基本的项目产品（防滑处理、高差处理、安装床边护栏（抓杆）、安装扶手、配置淋浴椅、手杖/助行器），全部满足得2分，否则不得分。  （2）能够对老年人住所提供基础的家庭养老床位智能化改造项目产品（网络连接设备、语音或视频通话设备、防走失装置、一键呼叫装置），全部满足得2分，否则不得分。  注：需提供自有的相关证明或相关资质机构签订的合作协议作为评审依据，未提供或提供无效证明材料的不得分。</w:t>
            </w:r>
          </w:p>
        </w:tc>
      </w:tr>
      <w:tr>
        <w:tc>
          <w:tcPr>
            <w:tcW w:type="dxa" w:w="922"/>
            <w:gridSpan w:val="2"/>
            <w:vMerge/>
          </w:tcPr>
          <w:p/>
        </w:tc>
        <w:tc>
          <w:tcPr>
            <w:tcW w:type="dxa" w:w="2307"/>
          </w:tcPr>
          <w:p>
            <w:pPr>
              <w:jc w:val="left"/>
            </w:pPr>
            <w:r>
              <w:rPr/>
              <w:t>拟投入本项目的工作人员情况 (12.0分)</w:t>
            </w:r>
          </w:p>
        </w:tc>
        <w:tc>
          <w:tcPr>
            <w:tcW w:type="dxa" w:w="5076"/>
          </w:tcPr>
          <w:p>
            <w:pPr>
              <w:jc w:val="left"/>
            </w:pPr>
            <w:r>
              <w:rPr/>
              <w:t>1.拟投入本项目的工作人员具有中级社会工作师职称的得1分，具有初级社会工作师职称的得0.5分，其他不得分。本项最高得分为4分。  2.拟投入本项目的工作人员当中有养老护理员资格证书的，每有1个人1分，没有不得分。本项最高得8分。  注：以上内容须提供证书复印件及劳动合同复印件加盖响应供应商公章作为评审依据，未提供或提供无效证明材料的不得分。</w:t>
            </w:r>
          </w:p>
        </w:tc>
      </w:tr>
      <w:tr>
        <w:tc>
          <w:tcPr>
            <w:tcW w:type="dxa" w:w="922"/>
            <w:gridSpan w:val="2"/>
          </w:tcPr>
          <w:p>
            <w:pPr>
              <w:jc w:val="center"/>
            </w:pPr>
            <w:r>
              <w:rPr/>
              <w:t>投标报价</w:t>
            </w:r>
          </w:p>
        </w:tc>
        <w:tc>
          <w:tcPr>
            <w:tcW w:type="dxa" w:w="2307"/>
          </w:tcPr>
          <w:p>
            <w:pPr>
              <w:jc w:val="left"/>
            </w:pPr>
            <w:r>
              <w:rPr/>
              <w:t>投标报价得分 (20.0分)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广东省政府采购</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b/>
          <w:color w:val="222222"/>
          <w:sz w:val="48"/>
        </w:rPr>
        <w:t>合　同　书</w:t>
      </w:r>
    </w:p>
    <w:p>
      <w:pPr>
        <w:shd w:fill="FFFFFF"/>
        <w:jc w:val="center"/>
      </w:pPr>
      <w:r>
        <w:br/>
      </w:r>
      <w:r>
        <w:br/>
      </w:r>
      <w:r>
        <w:br/>
      </w:r>
      <w:r>
        <w:br/>
      </w:r>
      <w:r>
        <w:br/>
      </w:r>
      <w:r>
        <w:br/>
      </w:r>
      <w:r>
        <w:br/>
      </w:r>
      <w:r>
        <w:br/>
      </w: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采购计划编号：</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项目编号：</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项目名称：</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jc w:val="both"/>
      </w:pPr>
      <w:r>
        <w:br/>
      </w:r>
      <w:r>
        <w:rPr>
          <w:rFonts w:ascii="helvetica" w:hAnsi="helvetica" w:cs="helvetica" w:eastAsia="helvetica"/>
          <w:color w:val="222222"/>
          <w:sz w:val="27"/>
        </w:rPr>
        <w:t xml:space="preserve"> </w:t>
      </w:r>
    </w:p>
    <w:p>
      <w:pPr>
        <w:shd w:fill="FFFFFF"/>
        <w:jc w:val="both"/>
      </w:pPr>
      <w:r>
        <w:rPr>
          <w:rFonts w:ascii="宋体" w:hAnsi="宋体" w:cs="宋体" w:eastAsia="宋体"/>
          <w:b/>
          <w:color w:val="222222"/>
          <w:sz w:val="27"/>
        </w:rPr>
        <w:t>甲方：</w:t>
      </w:r>
      <w:r>
        <w:rPr>
          <w:rFonts w:ascii="宋体" w:hAnsi="宋体" w:cs="宋体" w:eastAsia="宋体"/>
          <w:b/>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传真</w:t>
      </w:r>
      <w:r>
        <w:rPr>
          <w:rFonts w:ascii="宋体" w:hAnsi="宋体" w:cs="宋体" w:eastAsia="宋体"/>
          <w:color w:val="222222"/>
          <w:sz w:val="27"/>
        </w:rPr>
        <w:t xml:space="preserve"> </w:t>
      </w:r>
      <w:r>
        <w:rPr>
          <w:rFonts w:ascii="宋体" w:hAnsi="宋体" w:cs="宋体" w:eastAsia="宋体"/>
          <w:color w:val="222222"/>
          <w:sz w:val="27"/>
        </w:rPr>
        <w:t>：</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宋体" w:hAnsi="宋体" w:cs="宋体" w:eastAsia="宋体"/>
          <w:b/>
          <w:color w:val="222222"/>
          <w:sz w:val="27"/>
        </w:rPr>
        <w:t>乙方：</w:t>
      </w:r>
      <w:r>
        <w:rPr>
          <w:rFonts w:ascii="宋体" w:hAnsi="宋体" w:cs="宋体" w:eastAsia="宋体"/>
          <w:b/>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传真：</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both"/>
      </w:pP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根据</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项目</w:t>
      </w:r>
      <w:r>
        <w:rPr>
          <w:rFonts w:ascii="宋体" w:hAnsi="宋体" w:cs="宋体" w:eastAsia="宋体"/>
          <w:color w:val="222222"/>
          <w:sz w:val="27"/>
        </w:rPr>
        <w:t xml:space="preserve"> </w:t>
      </w:r>
      <w:r>
        <w:rPr>
          <w:rFonts w:ascii="宋体" w:hAnsi="宋体" w:cs="宋体" w:eastAsia="宋体"/>
          <w:color w:val="222222"/>
          <w:sz w:val="27"/>
        </w:rPr>
        <w:t>的采购结果，按照《中华人民共和国政府采购法》，《</w:t>
      </w:r>
      <w:r>
        <w:rPr>
          <w:rFonts w:ascii="宋体" w:hAnsi="宋体" w:cs="宋体" w:eastAsia="宋体"/>
          <w:color w:val="222222"/>
          <w:sz w:val="27"/>
        </w:rPr>
        <w:t>中华人民共和国民法典(合同编)</w:t>
      </w:r>
      <w:r>
        <w:rPr>
          <w:rFonts w:ascii="宋体" w:hAnsi="宋体" w:cs="宋体" w:eastAsia="宋体"/>
          <w:color w:val="222222"/>
          <w:sz w:val="27"/>
        </w:rPr>
        <w:t>》的规定，经双方协商，本着平等互利和诚实信用的原则，一致同意遵守本合同如下。</w:t>
      </w:r>
    </w:p>
    <w:p>
      <w:pPr>
        <w:shd w:fill="FFFFFF"/>
        <w:jc w:val="both"/>
      </w:pPr>
      <w:r>
        <w:rPr>
          <w:rFonts w:ascii="宋体" w:hAnsi="宋体" w:cs="宋体" w:eastAsia="宋体"/>
          <w:b/>
          <w:color w:val="222222"/>
          <w:sz w:val="27"/>
        </w:rPr>
        <w:t>一、合同金额</w:t>
      </w:r>
    </w:p>
    <w:p>
      <w:pPr>
        <w:shd w:fill="FFFFFF"/>
        <w:jc w:val="both"/>
      </w:pPr>
      <w:r>
        <w:rPr>
          <w:rFonts w:ascii="宋体" w:hAnsi="宋体" w:cs="宋体" w:eastAsia="宋体"/>
          <w:color w:val="222222"/>
          <w:sz w:val="27"/>
        </w:rPr>
        <w:t>　　合同金额为（大写）：_____________元（￥_________元）人民币。</w:t>
      </w:r>
    </w:p>
    <w:p>
      <w:pPr>
        <w:shd w:fill="FFFFFF"/>
        <w:jc w:val="both"/>
      </w:pPr>
      <w:r>
        <w:rPr>
          <w:rFonts w:ascii="宋体" w:hAnsi="宋体" w:cs="宋体" w:eastAsia="宋体"/>
          <w:b/>
          <w:color w:val="222222"/>
          <w:sz w:val="27"/>
        </w:rPr>
        <w:t>二、服务范围</w:t>
      </w:r>
    </w:p>
    <w:p>
      <w:pPr>
        <w:shd w:fill="FFFFFF"/>
        <w:jc w:val="both"/>
      </w:pPr>
      <w:r>
        <w:rPr>
          <w:rFonts w:ascii="宋体" w:hAnsi="宋体" w:cs="宋体" w:eastAsia="宋体"/>
          <w:color w:val="222222"/>
          <w:sz w:val="27"/>
        </w:rPr>
        <w:t>　　甲方聘请乙方提供以下服务：</w:t>
      </w:r>
    </w:p>
    <w:p>
      <w:pPr>
        <w:shd w:fill="FFFFFF"/>
        <w:jc w:val="both"/>
      </w:pPr>
      <w:r>
        <w:rPr>
          <w:rFonts w:ascii="宋体" w:hAnsi="宋体" w:cs="宋体" w:eastAsia="宋体"/>
          <w:color w:val="222222"/>
          <w:sz w:val="27"/>
        </w:rPr>
        <w:t>　　1．</w:t>
      </w:r>
      <w:r>
        <w:rPr>
          <w:rFonts w:ascii="宋体" w:hAnsi="宋体" w:cs="宋体" w:eastAsia="宋体"/>
          <w:color w:val="222222"/>
          <w:sz w:val="27"/>
        </w:rPr>
        <w:t>　　　　　　　　　　　</w:t>
      </w:r>
      <w:r>
        <w:rPr>
          <w:rFonts w:ascii="宋体" w:hAnsi="宋体" w:cs="宋体" w:eastAsia="宋体"/>
          <w:color w:val="222222"/>
          <w:sz w:val="27"/>
        </w:rPr>
        <w:t>。</w:t>
      </w:r>
    </w:p>
    <w:p>
      <w:pPr>
        <w:shd w:fill="FFFFFF"/>
        <w:jc w:val="both"/>
      </w:pPr>
      <w:r>
        <w:rPr>
          <w:rFonts w:ascii="宋体" w:hAnsi="宋体" w:cs="宋体" w:eastAsia="宋体"/>
          <w:color w:val="222222"/>
          <w:sz w:val="27"/>
        </w:rPr>
        <w:t>　　2．</w:t>
      </w:r>
      <w:r>
        <w:rPr>
          <w:rFonts w:ascii="宋体" w:hAnsi="宋体" w:cs="宋体" w:eastAsia="宋体"/>
          <w:color w:val="222222"/>
          <w:sz w:val="27"/>
        </w:rPr>
        <w:t>　　　　　　　　　　　</w:t>
      </w:r>
    </w:p>
    <w:p>
      <w:pPr>
        <w:shd w:fill="FFFFFF"/>
        <w:jc w:val="both"/>
      </w:pPr>
      <w:r>
        <w:rPr>
          <w:rFonts w:ascii="宋体" w:hAnsi="宋体" w:cs="宋体" w:eastAsia="宋体"/>
          <w:color w:val="222222"/>
          <w:sz w:val="27"/>
        </w:rPr>
        <w:t>……</w:t>
      </w:r>
    </w:p>
    <w:p>
      <w:pPr>
        <w:shd w:fill="FFFFFF"/>
        <w:jc w:val="both"/>
      </w:pPr>
      <w:r>
        <w:rPr>
          <w:rFonts w:ascii="宋体" w:hAnsi="宋体" w:cs="宋体" w:eastAsia="宋体"/>
          <w:b/>
          <w:color w:val="222222"/>
          <w:sz w:val="27"/>
        </w:rPr>
        <w:t>三、甲方乙方的权利和义务</w:t>
      </w:r>
    </w:p>
    <w:p>
      <w:pPr>
        <w:shd w:fill="FFFFFF"/>
        <w:jc w:val="both"/>
      </w:pPr>
      <w:r>
        <w:rPr>
          <w:rFonts w:ascii="宋体" w:hAnsi="宋体" w:cs="宋体" w:eastAsia="宋体"/>
          <w:color w:val="222222"/>
          <w:sz w:val="27"/>
        </w:rPr>
        <w:t>　　1.甲方的权利和义务</w:t>
      </w:r>
    </w:p>
    <w:p>
      <w:pPr>
        <w:shd w:fill="FFFFFF"/>
        <w:jc w:val="both"/>
      </w:pPr>
      <w:r>
        <w:rPr>
          <w:rFonts w:ascii="宋体" w:hAnsi="宋体" w:cs="宋体" w:eastAsia="宋体"/>
          <w:color w:val="222222"/>
          <w:sz w:val="27"/>
        </w:rPr>
        <w:t>　　2.乙方的权利和义务</w:t>
      </w:r>
    </w:p>
    <w:p>
      <w:pPr>
        <w:shd w:fill="FFFFFF"/>
        <w:jc w:val="both"/>
      </w:pPr>
      <w:r>
        <w:rPr>
          <w:rFonts w:ascii="宋体" w:hAnsi="宋体" w:cs="宋体" w:eastAsia="宋体"/>
          <w:b/>
          <w:color w:val="222222"/>
          <w:sz w:val="27"/>
        </w:rPr>
        <w:t>四、服务期间（项目完成期限）</w:t>
      </w:r>
    </w:p>
    <w:p>
      <w:pPr>
        <w:shd w:fill="FFFFFF"/>
        <w:jc w:val="both"/>
      </w:pPr>
      <w:r>
        <w:rPr>
          <w:rFonts w:ascii="宋体" w:hAnsi="宋体" w:cs="宋体" w:eastAsia="宋体"/>
          <w:color w:val="222222"/>
          <w:sz w:val="27"/>
        </w:rPr>
        <w:t>　　1.委托服务期间自______年______月至______年______月止。</w:t>
      </w:r>
    </w:p>
    <w:p>
      <w:pPr>
        <w:shd w:fill="FFFFFF"/>
        <w:jc w:val="both"/>
      </w:pPr>
      <w:r>
        <w:rPr>
          <w:rFonts w:ascii="宋体" w:hAnsi="宋体" w:cs="宋体" w:eastAsia="宋体"/>
          <w:b/>
          <w:color w:val="222222"/>
          <w:sz w:val="27"/>
        </w:rPr>
        <w:t>五、付款方式</w:t>
      </w:r>
    </w:p>
    <w:p>
      <w:pPr>
        <w:shd w:fill="FFFFFF"/>
        <w:jc w:val="both"/>
      </w:pPr>
      <w:r>
        <w:rPr>
          <w:rFonts w:ascii="宋体" w:hAnsi="宋体" w:cs="宋体" w:eastAsia="宋体"/>
          <w:color w:val="222222"/>
          <w:sz w:val="27"/>
        </w:rPr>
        <w:t>　　由甲方按下列程序在</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内付款：</w:t>
      </w:r>
    </w:p>
    <w:p>
      <w:pPr>
        <w:shd w:fill="FFFFFF"/>
        <w:jc w:val="both"/>
      </w:pPr>
      <w:r>
        <w:rPr>
          <w:rFonts w:ascii="宋体" w:hAnsi="宋体" w:cs="宋体" w:eastAsia="宋体"/>
          <w:color w:val="222222"/>
          <w:sz w:val="27"/>
        </w:rPr>
        <w:t>　　1.在合同实施及服务人员到达服务地后__天内，甲方应将第一次付　　款总服务费的__(-%)付给乙方。</w:t>
      </w:r>
    </w:p>
    <w:p>
      <w:pPr>
        <w:shd w:fill="FFFFFF"/>
        <w:jc w:val="both"/>
      </w:pPr>
      <w:r>
        <w:rPr>
          <w:rFonts w:ascii="宋体" w:hAnsi="宋体" w:cs="宋体" w:eastAsia="宋体"/>
          <w:color w:val="222222"/>
          <w:sz w:val="27"/>
        </w:rPr>
        <w:t>　　2.第二次付款额应为总服务费的__(-%)，甲方应在乙方已经准备好，并递交了服务报告及其它相关文件，而这些报告和文件符合合同附件上的要求并被甲方验收后付给乙方。</w:t>
      </w:r>
    </w:p>
    <w:p>
      <w:pPr>
        <w:shd w:fill="FFFFFF"/>
        <w:jc w:val="both"/>
      </w:pPr>
      <w:r>
        <w:rPr>
          <w:rFonts w:ascii="宋体" w:hAnsi="宋体" w:cs="宋体" w:eastAsia="宋体"/>
          <w:color w:val="222222"/>
          <w:sz w:val="27"/>
        </w:rPr>
        <w:t>　　3.最后一次付款额应为总服务费的__(-%)，甲方应在乙方递交了服务总结报告和说明并完全履行合同完毕_________日内付给乙方。</w:t>
      </w:r>
    </w:p>
    <w:p>
      <w:pPr>
        <w:shd w:fill="FFFFFF"/>
        <w:jc w:val="both"/>
      </w:pPr>
      <w:r>
        <w:rPr>
          <w:rFonts w:ascii="宋体" w:hAnsi="宋体" w:cs="宋体" w:eastAsia="宋体"/>
          <w:color w:val="222222"/>
          <w:sz w:val="27"/>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shd w:fill="FFFFFF"/>
        <w:jc w:val="both"/>
      </w:pPr>
      <w:r>
        <w:rPr>
          <w:rFonts w:ascii="宋体" w:hAnsi="宋体" w:cs="宋体" w:eastAsia="宋体"/>
          <w:b/>
          <w:color w:val="222222"/>
          <w:sz w:val="27"/>
        </w:rPr>
        <w:t>六、知识产权归属</w:t>
      </w:r>
    </w:p>
    <w:p>
      <w:pPr>
        <w:shd w:fill="FFFFFF"/>
        <w:jc w:val="both"/>
      </w:pPr>
      <w:r>
        <w:rPr>
          <w:rFonts w:ascii="宋体" w:hAnsi="宋体" w:cs="宋体" w:eastAsia="宋体"/>
          <w:b/>
          <w:color w:val="222222"/>
          <w:sz w:val="27"/>
        </w:rPr>
        <w:t>七、保密</w:t>
      </w:r>
    </w:p>
    <w:p>
      <w:pPr>
        <w:shd w:fill="FFFFFF"/>
        <w:jc w:val="both"/>
      </w:pPr>
      <w:r>
        <w:rPr>
          <w:rFonts w:ascii="宋体" w:hAnsi="宋体" w:cs="宋体" w:eastAsia="宋体"/>
          <w:b/>
          <w:color w:val="222222"/>
          <w:sz w:val="27"/>
        </w:rPr>
        <w:t>八、违约责任与赔偿损失</w:t>
      </w:r>
    </w:p>
    <w:p>
      <w:pPr>
        <w:shd w:fill="FFFFFF"/>
        <w:jc w:val="both"/>
      </w:pPr>
      <w:r>
        <w:rPr>
          <w:rFonts w:ascii="宋体" w:hAnsi="宋体" w:cs="宋体" w:eastAsia="宋体"/>
          <w:color w:val="222222"/>
          <w:sz w:val="27"/>
        </w:rPr>
        <w:t>　　1.乙方提供的服务不符合本合同规定的，甲方有权拒收，并且乙方须向甲方方支付本合同总价5%的违约金。</w:t>
      </w:r>
    </w:p>
    <w:p>
      <w:pPr>
        <w:shd w:fill="FFFFFF"/>
        <w:jc w:val="both"/>
      </w:pPr>
      <w:r>
        <w:rPr>
          <w:rFonts w:ascii="宋体" w:hAnsi="宋体" w:cs="宋体" w:eastAsia="宋体"/>
          <w:color w:val="222222"/>
          <w:sz w:val="27"/>
        </w:rPr>
        <w:t>　　2.乙方未能按本合同规定的交货时间提供服务，从逾期之日起每日按本合同总价3‰的数额向甲方支付违约金；逾期半个月以上的，甲方有权终止合同，由此造成的甲方经济损失由乙方承担。</w:t>
      </w:r>
    </w:p>
    <w:p>
      <w:pPr>
        <w:shd w:fill="FFFFFF"/>
        <w:jc w:val="both"/>
      </w:pPr>
      <w:r>
        <w:rPr>
          <w:rFonts w:ascii="宋体" w:hAnsi="宋体" w:cs="宋体" w:eastAsia="宋体"/>
          <w:color w:val="222222"/>
          <w:sz w:val="27"/>
        </w:rPr>
        <w:t>　　3.甲方无正当理由拒收接受服务，到期拒付服务款项的，甲方向乙方偿付本合同总的5%的违约金。甲方人逾期付款，则每日按本合同总价的3‰向乙方偿付违约金。</w:t>
      </w:r>
    </w:p>
    <w:p>
      <w:pPr>
        <w:shd w:fill="FFFFFF"/>
        <w:jc w:val="both"/>
      </w:pPr>
      <w:r>
        <w:rPr>
          <w:rFonts w:ascii="宋体" w:hAnsi="宋体" w:cs="宋体" w:eastAsia="宋体"/>
          <w:color w:val="222222"/>
          <w:sz w:val="27"/>
        </w:rPr>
        <w:t>　　4.对于因甲方原因导致变更、中止或者终止政府采购合同的，甲方应当依照以下合同约定对供应商受到的损失予以赔偿或者补偿：</w:t>
      </w:r>
    </w:p>
    <w:p>
      <w:pPr>
        <w:shd w:fill="FFFFFF"/>
        <w:jc w:val="both"/>
      </w:pP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p>
    <w:p>
      <w:pPr>
        <w:shd w:fill="FFFFFF"/>
        <w:jc w:val="both"/>
      </w:pPr>
      <w:r>
        <w:rPr>
          <w:rFonts w:ascii="宋体" w:hAnsi="宋体" w:cs="宋体" w:eastAsia="宋体"/>
          <w:color w:val="222222"/>
          <w:sz w:val="27"/>
        </w:rPr>
        <w:t>　　5.其它违约责任按《</w:t>
      </w:r>
      <w:r>
        <w:rPr>
          <w:rFonts w:ascii="宋体" w:hAnsi="宋体" w:cs="宋体" w:eastAsia="宋体"/>
          <w:color w:val="222222"/>
          <w:sz w:val="27"/>
        </w:rPr>
        <w:t>中华人民共和国民法典(合同编)</w:t>
      </w:r>
      <w:r>
        <w:rPr>
          <w:rFonts w:ascii="宋体" w:hAnsi="宋体" w:cs="宋体" w:eastAsia="宋体"/>
          <w:color w:val="222222"/>
          <w:sz w:val="27"/>
        </w:rPr>
        <w:t>》处理。</w:t>
      </w:r>
    </w:p>
    <w:p>
      <w:pPr>
        <w:shd w:fill="FFFFFF"/>
        <w:jc w:val="both"/>
      </w:pPr>
      <w:r>
        <w:rPr>
          <w:rFonts w:ascii="宋体" w:hAnsi="宋体" w:cs="宋体" w:eastAsia="宋体"/>
          <w:b/>
          <w:color w:val="222222"/>
          <w:sz w:val="27"/>
        </w:rPr>
        <w:t>九、争议的解决</w:t>
      </w:r>
    </w:p>
    <w:p>
      <w:pPr>
        <w:shd w:fill="FFFFFF"/>
        <w:ind w:firstLine="400"/>
        <w:jc w:val="both"/>
      </w:pPr>
      <w:r>
        <w:rPr>
          <w:rFonts w:ascii="宋体" w:hAnsi="宋体" w:cs="宋体" w:eastAsia="宋体"/>
          <w:color w:val="222222"/>
          <w:sz w:val="27"/>
        </w:rPr>
        <w:t>合同执行过程中发生的任何争议，如双方不能通过友好协商解决，按相关法律法规处理。</w:t>
      </w:r>
      <w:r>
        <w:rPr>
          <w:rFonts w:ascii="helvetica" w:hAnsi="helvetica" w:cs="helvetica" w:eastAsia="helvetica"/>
          <w:color w:val="222222"/>
          <w:sz w:val="27"/>
        </w:rPr>
        <w:t xml:space="preserve"> </w:t>
      </w:r>
      <w:r>
        <w:rPr>
          <w:rFonts w:ascii="宋体" w:hAnsi="宋体" w:cs="宋体" w:eastAsia="宋体"/>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宋体" w:hAnsi="宋体" w:cs="宋体" w:eastAsia="宋体"/>
          <w:b/>
          <w:color w:val="222222"/>
          <w:sz w:val="27"/>
        </w:rPr>
        <w:t>十、不可抗力</w:t>
      </w:r>
    </w:p>
    <w:p>
      <w:pPr>
        <w:shd w:fill="FFFFFF"/>
        <w:jc w:val="both"/>
      </w:pPr>
      <w:r>
        <w:rPr>
          <w:rFonts w:ascii="宋体" w:hAnsi="宋体" w:cs="宋体" w:eastAsia="宋体"/>
          <w:color w:val="222222"/>
          <w:sz w:val="27"/>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shd w:fill="FFFFFF"/>
        <w:jc w:val="both"/>
      </w:pPr>
      <w:r>
        <w:rPr>
          <w:rFonts w:ascii="宋体" w:hAnsi="宋体" w:cs="宋体" w:eastAsia="宋体"/>
          <w:b/>
          <w:color w:val="222222"/>
          <w:sz w:val="27"/>
        </w:rPr>
        <w:t>十一、税费</w:t>
      </w:r>
    </w:p>
    <w:p>
      <w:pPr>
        <w:shd w:fill="FFFFFF"/>
        <w:jc w:val="both"/>
      </w:pPr>
      <w:r>
        <w:rPr>
          <w:rFonts w:ascii="宋体" w:hAnsi="宋体" w:cs="宋体" w:eastAsia="宋体"/>
          <w:color w:val="222222"/>
          <w:sz w:val="27"/>
        </w:rPr>
        <w:t>　　在中国境内、外发生的与本合同执行有关的一切税费均由乙方负担。</w:t>
      </w:r>
    </w:p>
    <w:p>
      <w:pPr>
        <w:shd w:fill="FFFFFF"/>
        <w:jc w:val="both"/>
      </w:pPr>
      <w:r>
        <w:rPr>
          <w:rFonts w:ascii="宋体" w:hAnsi="宋体" w:cs="宋体" w:eastAsia="宋体"/>
          <w:b/>
          <w:color w:val="222222"/>
          <w:sz w:val="27"/>
        </w:rPr>
        <w:t>十二、其它</w:t>
      </w:r>
    </w:p>
    <w:p>
      <w:pPr>
        <w:shd w:fill="FFFFFF"/>
        <w:jc w:val="both"/>
      </w:pPr>
      <w:r>
        <w:rPr>
          <w:rFonts w:ascii="宋体" w:hAnsi="宋体" w:cs="宋体" w:eastAsia="宋体"/>
          <w:color w:val="222222"/>
          <w:sz w:val="27"/>
        </w:rPr>
        <w:t>　　1.本合同所有附件、招标文件、投标文件、中标通知书均为合同的有效组成部分，与本合同具有同等法律效力。</w:t>
      </w:r>
    </w:p>
    <w:p>
      <w:pPr>
        <w:shd w:fill="FFFFFF"/>
        <w:jc w:val="both"/>
      </w:pPr>
      <w:r>
        <w:rPr>
          <w:rFonts w:ascii="宋体" w:hAnsi="宋体" w:cs="宋体" w:eastAsia="宋体"/>
          <w:color w:val="222222"/>
          <w:sz w:val="27"/>
        </w:rPr>
        <w:t>　　2.在执行本合同的过程中，所有经双方签署确认的文件（包括会议纪要、补充协议、往来信函）即成为本合同的有效组成部分。</w:t>
      </w:r>
    </w:p>
    <w:p>
      <w:pPr>
        <w:shd w:fill="FFFFFF"/>
        <w:jc w:val="both"/>
      </w:pPr>
      <w:r>
        <w:rPr>
          <w:rFonts w:ascii="宋体" w:hAnsi="宋体" w:cs="宋体" w:eastAsia="宋体"/>
          <w:color w:val="222222"/>
          <w:sz w:val="27"/>
        </w:rPr>
        <w:t>　　3.如一方地址、电话、传真号码有变更，应在变更当日内书面通知对方，否则，应承担相应责任。</w:t>
      </w:r>
    </w:p>
    <w:p>
      <w:pPr>
        <w:shd w:fill="FFFFFF"/>
        <w:jc w:val="both"/>
      </w:pPr>
      <w:r>
        <w:rPr>
          <w:rFonts w:ascii="宋体" w:hAnsi="宋体" w:cs="宋体" w:eastAsia="宋体"/>
          <w:color w:val="222222"/>
          <w:sz w:val="27"/>
        </w:rPr>
        <w:t>　　4.除甲方事先书面同意外，乙方不得部分或全部转让其应履行的合同项下的义务。</w:t>
      </w:r>
    </w:p>
    <w:p>
      <w:pPr>
        <w:shd w:fill="FFFFFF"/>
        <w:jc w:val="both"/>
      </w:pPr>
      <w:r>
        <w:rPr>
          <w:rFonts w:ascii="宋体" w:hAnsi="宋体" w:cs="宋体" w:eastAsia="宋体"/>
          <w:b/>
          <w:color w:val="222222"/>
          <w:sz w:val="27"/>
        </w:rPr>
        <w:t>十三、合同生效</w:t>
      </w:r>
    </w:p>
    <w:p>
      <w:pPr>
        <w:shd w:fill="FFFFFF"/>
        <w:jc w:val="both"/>
      </w:pPr>
      <w:r>
        <w:rPr>
          <w:rFonts w:ascii="宋体" w:hAnsi="宋体" w:cs="宋体" w:eastAsia="宋体"/>
          <w:color w:val="222222"/>
          <w:sz w:val="27"/>
        </w:rPr>
        <w:t>　　1.本合同在甲乙双方法人代表或其授权代表签字盖章后生效。</w:t>
      </w:r>
    </w:p>
    <w:p>
      <w:pPr>
        <w:shd w:fill="FFFFFF"/>
        <w:jc w:val="both"/>
      </w:pPr>
      <w:r>
        <w:rPr>
          <w:rFonts w:ascii="宋体" w:hAnsi="宋体" w:cs="宋体" w:eastAsia="宋体"/>
          <w:color w:val="222222"/>
          <w:sz w:val="27"/>
        </w:rPr>
        <w:t>　　2.合同一式</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份。</w:t>
      </w:r>
    </w:p>
    <w:p>
      <w:pPr>
        <w:shd w:fill="FFFFFF"/>
        <w:jc w:val="both"/>
      </w:pPr>
      <w:r>
        <w:rPr>
          <w:rFonts w:ascii="helvetica" w:hAnsi="helvetica" w:cs="helvetica" w:eastAsia="helvetica"/>
          <w:color w:val="222222"/>
          <w:sz w:val="27"/>
        </w:rPr>
        <w:t xml:space="preserve"> </w:t>
      </w:r>
    </w:p>
    <w:p>
      <w:pPr>
        <w:shd w:fill="FFFFFF"/>
        <w:jc w:val="both"/>
      </w:pPr>
      <w:r>
        <w:rPr>
          <w:rFonts w:ascii="宋体" w:hAnsi="宋体" w:cs="宋体" w:eastAsia="宋体"/>
          <w:b/>
          <w:color w:val="222222"/>
          <w:sz w:val="27"/>
        </w:rPr>
        <w:t>甲方（盖章）：</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乙方（盖章）：</w:t>
      </w:r>
    </w:p>
    <w:p>
      <w:pPr>
        <w:shd w:fill="FFFFFF"/>
        <w:jc w:val="both"/>
      </w:pPr>
      <w:r>
        <w:rPr>
          <w:rFonts w:ascii="宋体" w:hAnsi="宋体" w:cs="宋体" w:eastAsia="宋体"/>
          <w:b/>
          <w:color w:val="222222"/>
          <w:sz w:val="27"/>
        </w:rPr>
        <w:t>代表：</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代表：</w:t>
      </w:r>
    </w:p>
    <w:p>
      <w:pPr>
        <w:shd w:fill="FFFFFF"/>
        <w:jc w:val="both"/>
      </w:pPr>
      <w:r>
        <w:rPr>
          <w:rFonts w:ascii="宋体" w:hAnsi="宋体" w:cs="宋体" w:eastAsia="宋体"/>
          <w:color w:val="222222"/>
          <w:sz w:val="27"/>
        </w:rPr>
        <w:t>签定地点：</w:t>
      </w:r>
    </w:p>
    <w:p>
      <w:pPr>
        <w:shd w:fill="FFFFFF"/>
        <w:jc w:val="both"/>
      </w:pPr>
      <w:r>
        <w:rPr>
          <w:rFonts w:ascii="宋体" w:hAnsi="宋体" w:cs="宋体" w:eastAsia="宋体"/>
          <w:color w:val="222222"/>
          <w:sz w:val="27"/>
        </w:rPr>
        <w:t>签定日期：　　　年　　月　　日</w:t>
      </w:r>
      <w:r>
        <w:rPr>
          <w:rFonts w:ascii="宋体" w:hAnsi="宋体" w:cs="宋体" w:eastAsia="宋体"/>
          <w:color w:val="222222"/>
          <w:sz w:val="27"/>
        </w:rPr>
        <w:t xml:space="preserve"> </w:t>
      </w:r>
      <w:r>
        <w:rPr>
          <w:rFonts w:ascii="宋体" w:hAnsi="宋体" w:cs="宋体" w:eastAsia="宋体"/>
          <w:color w:val="222222"/>
          <w:sz w:val="27"/>
        </w:rPr>
        <w:t>签定日期：　　　年　　月　　日</w:t>
      </w:r>
    </w:p>
    <w:p>
      <w:pPr>
        <w:shd w:fill="FFFFFF"/>
        <w:jc w:val="both"/>
      </w:pPr>
      <w:r>
        <w:rPr>
          <w:rFonts w:ascii="宋体" w:hAnsi="宋体" w:cs="宋体" w:eastAsia="宋体"/>
          <w:color w:val="222222"/>
          <w:sz w:val="27"/>
        </w:rPr>
        <w:t>开户名称：</w:t>
      </w:r>
    </w:p>
    <w:p>
      <w:pPr>
        <w:shd w:fill="FFFFFF"/>
        <w:jc w:val="both"/>
      </w:pPr>
      <w:r>
        <w:rPr>
          <w:rFonts w:ascii="宋体" w:hAnsi="宋体" w:cs="宋体" w:eastAsia="宋体"/>
          <w:color w:val="222222"/>
          <w:sz w:val="27"/>
        </w:rPr>
        <w:t>银行帐号：</w:t>
      </w:r>
    </w:p>
    <w:p>
      <w:pPr>
        <w:shd w:fill="FFFFFF"/>
        <w:jc w:val="both"/>
      </w:pPr>
      <w:r>
        <w:rPr>
          <w:rFonts w:ascii="宋体" w:hAnsi="宋体" w:cs="宋体" w:eastAsia="宋体"/>
          <w:color w:val="222222"/>
          <w:sz w:val="27"/>
        </w:rPr>
        <w:t>开</w:t>
        <w:tab/>
        <w:tab/>
        <w:tab/>
        <w:tab/>
        <w:tab/>
        <w:t xml:space="preserve"> 户 行：</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445303-2022-01511</w:t>
      </w:r>
    </w:p>
    <w:p>
      <w:pPr>
        <w:jc w:val="center"/>
      </w:pPr>
      <w:r>
        <w:rPr>
          <w:b/>
          <w:sz w:val="24"/>
        </w:rPr>
        <w:t>采购项目编号：</w:t>
      </w:r>
      <w:r>
        <w:rPr>
          <w:b/>
          <w:sz w:val="24"/>
        </w:rPr>
        <w:t>445303-2022-01464</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云浮市亿鑫招标采购代理有限公司</w:t>
      </w:r>
    </w:p>
    <w:p>
      <w:pPr>
        <w:ind w:firstLine="480"/>
      </w:pPr>
      <w:r>
        <w:rPr/>
        <w:t>你方组织的</w:t>
      </w:r>
      <w:r>
        <w:rPr>
          <w:u w:val="single"/>
        </w:rPr>
        <w:t>“</w:t>
      </w:r>
      <w:r>
        <w:rPr>
          <w:u w:val="single"/>
        </w:rPr>
        <w:t>云安区民政局2021年居家和社区基本养老服务提升行动项目</w:t>
      </w:r>
      <w:r>
        <w:rPr>
          <w:u w:val="single"/>
        </w:rPr>
        <w:t>”</w:t>
      </w:r>
      <w:r>
        <w:rPr/>
        <w:t>项目的竞争性磋商[采购项目编号为：</w:t>
      </w:r>
      <w:r>
        <w:rPr>
          <w:u w:val="single"/>
        </w:rPr>
        <w:t>445303-2022-01464</w:t>
      </w:r>
      <w:r>
        <w:rPr/>
        <w:t>]，我方愿参与响应。</w:t>
      </w:r>
    </w:p>
    <w:p>
      <w:pPr>
        <w:ind w:firstLine="480"/>
      </w:pPr>
      <w:r>
        <w:rPr/>
        <w:t>我方确认收到贵方提供的</w:t>
      </w:r>
      <w:r>
        <w:rPr>
          <w:u w:val="single"/>
        </w:rPr>
        <w:t>“</w:t>
      </w:r>
      <w:r>
        <w:rPr>
          <w:u w:val="single"/>
        </w:rPr>
        <w:t>云安区民政局2021年居家和社区基本养老服务提升行动项目</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云浮市亿鑫招标采购代理有限公司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云安区民政局2021年居家和社区基本养老服务提升行动项目</w:t>
      </w:r>
      <w:r>
        <w:rPr/>
        <w:t>”项目采购[采购项目编号为</w:t>
      </w:r>
      <w:r>
        <w:rPr/>
        <w:t>445303-2022-01464</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云浮市云安区民政局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云浮市亿鑫招标采购代理有限公司</w:t>
      </w:r>
    </w:p>
    <w:p>
      <w:pPr>
        <w:ind w:firstLine="480"/>
      </w:pPr>
      <w:r>
        <w:rPr/>
        <w:t>我单位参加贵公司组织的</w:t>
      </w:r>
      <w:r>
        <w:rPr/>
        <w:t>云安区民政局2021年居家和社区基本养老服务提升行动项目</w:t>
      </w:r>
      <w:r>
        <w:rPr/>
        <w:t>（采购项目编号：</w:t>
      </w:r>
      <w:r>
        <w:rPr/>
        <w:t>445303-2022-01464</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云浮市亿鑫招标采购代理有限公司</w:t>
      </w:r>
    </w:p>
    <w:p>
      <w:pPr>
        <w:ind w:firstLine="480"/>
      </w:pPr>
      <w:r>
        <w:rPr/>
        <w:t>我单位已登记并准备参与“</w:t>
      </w:r>
      <w:r>
        <w:rPr/>
        <w:t>云安区民政局2021年居家和社区基本养老服务提升行动项目</w:t>
      </w:r>
      <w:r>
        <w:rPr/>
        <w:t>”项目（采购项目编号：</w:t>
      </w:r>
      <w:r>
        <w:rPr/>
        <w:t>445303-2022-01464</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